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5235-6k_bitdeer.htm"/>
      <w:bookmarkStart w:id="1" w:name="ksea03052356k_bitdee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001-41687</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 Kallang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Aperia tower 1, #09-03/04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339509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center"/>
        <w:rPr>
          <w:caps w:val="false"/>
          <w:smallCaps w:val="false"/>
        </w:rPr>
      </w:pPr>
      <w:r>
        <w:rPr>
          <w:caps w:val="false"/>
          <w:smallCaps w:val="false"/>
        </w:rPr>
        <w:t> </w:t>
      </w:r>
    </w:p>
    <w:tbl>
      <w:tblPr>
        <w:tblW w:w="8080" w:type="dxa"/>
        <w:jc w:val="left"/>
        <w:tblInd w:w="0" w:type="dxa"/>
        <w:tblLayout w:type="fixed"/>
        <w:tblCellMar>
          <w:top w:w="0" w:type="dxa"/>
          <w:left w:w="0" w:type="dxa"/>
          <w:bottom w:w="28" w:type="dxa"/>
          <w:right w:w="0" w:type="dxa"/>
        </w:tblCellMar>
      </w:tblPr>
      <w:tblGrid>
        <w:gridCol w:w="1205"/>
        <w:gridCol w:w="60"/>
        <w:gridCol w:w="6815"/>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6815"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120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15" w:type="dxa"/>
            <w:tcBorders/>
            <w:shd w:fill="CCEEFF" w:val="clear"/>
            <w:tcMar>
              <w:bottom w:w="0" w:type="dxa"/>
            </w:tcMar>
            <w:vAlign w:val="center"/>
          </w:tcPr>
          <w:p>
            <w:pPr>
              <w:pStyle w:val="TableContents"/>
              <w:bidi w:val="0"/>
              <w:spacing w:before="0" w:after="283"/>
              <w:jc w:val="left"/>
              <w:rPr/>
            </w:pPr>
            <w:hyperlink w:anchor="ea030523501ex99-1.htm">
              <w:r>
                <w:rPr>
                  <w:rStyle w:val="InternetLink"/>
                  <w:sz w:val="20"/>
                </w:rPr>
                <w:t>Press Release – Bitdeer Announces August 2026 Production and Operations Update</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2974" w:type="dxa"/>
        <w:jc w:val="left"/>
        <w:tblInd w:w="0" w:type="dxa"/>
        <w:tblLayout w:type="fixed"/>
        <w:tblCellMar>
          <w:top w:w="0" w:type="dxa"/>
          <w:left w:w="0" w:type="dxa"/>
          <w:bottom w:w="0" w:type="dxa"/>
          <w:right w:w="0" w:type="dxa"/>
        </w:tblCellMar>
      </w:tblPr>
      <w:tblGrid>
        <w:gridCol w:w="75"/>
        <w:gridCol w:w="632"/>
        <w:gridCol w:w="2267"/>
      </w:tblGrid>
      <w:tr>
        <w:trPr/>
        <w:tc>
          <w:tcPr>
            <w:tcW w:w="75" w:type="dxa"/>
            <w:tcBorders/>
            <w:vAlign w:val="center"/>
          </w:tcPr>
          <w:p>
            <w:pPr>
              <w:pStyle w:val="TableContents"/>
              <w:bidi w:val="0"/>
              <w:spacing w:before="0" w:after="283"/>
              <w:jc w:val="left"/>
              <w:rPr/>
            </w:pPr>
            <w:r>
              <w:rPr/>
              <w:t> </w:t>
            </w:r>
          </w:p>
        </w:tc>
        <w:tc>
          <w:tcPr>
            <w:tcW w:w="2899" w:type="dxa"/>
            <w:gridSpan w:val="2"/>
            <w:tcBorders/>
            <w:vAlign w:val="center"/>
          </w:tcPr>
          <w:p>
            <w:pPr>
              <w:pStyle w:val="TableContents"/>
              <w:bidi w:val="0"/>
              <w:spacing w:before="0" w:after="283"/>
              <w:jc w:val="left"/>
              <w:rPr>
                <w:b/>
              </w:rPr>
            </w:pPr>
            <w:r>
              <w:rPr>
                <w:b/>
              </w:rPr>
              <w:t>Bitdeer Technologies Group</w:t>
            </w:r>
          </w:p>
        </w:tc>
      </w:tr>
      <w:tr>
        <w:trPr/>
        <w:tc>
          <w:tcPr>
            <w:tcW w:w="75" w:type="dxa"/>
            <w:tcBorders/>
            <w:vAlign w:val="center"/>
          </w:tcPr>
          <w:p>
            <w:pPr>
              <w:pStyle w:val="TableContents"/>
              <w:bidi w:val="0"/>
              <w:spacing w:before="0" w:after="283"/>
              <w:jc w:val="left"/>
              <w:rPr/>
            </w:pPr>
            <w:r>
              <w:rPr/>
              <w:t> </w:t>
            </w:r>
          </w:p>
        </w:tc>
        <w:tc>
          <w:tcPr>
            <w:tcW w:w="28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20"/>
              </w:rPr>
            </w:pPr>
            <w:r>
              <w:rPr>
                <w:sz w:val="20"/>
              </w:rPr>
              <w:t>By:</w:t>
            </w:r>
          </w:p>
        </w:tc>
        <w:tc>
          <w:tcPr>
            <w:tcW w:w="2267"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Jihan Wu</w:t>
            </w:r>
          </w:p>
        </w:tc>
      </w:tr>
      <w:tr>
        <w:trPr/>
        <w:tc>
          <w:tcPr>
            <w:tcW w:w="75"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20"/>
              </w:rPr>
            </w:pPr>
            <w:r>
              <w:rPr>
                <w:sz w:val="20"/>
              </w:rPr>
              <w:t>Name:</w:t>
            </w:r>
          </w:p>
        </w:tc>
        <w:tc>
          <w:tcPr>
            <w:tcW w:w="2267" w:type="dxa"/>
            <w:tcBorders/>
            <w:vAlign w:val="center"/>
          </w:tcPr>
          <w:p>
            <w:pPr>
              <w:pStyle w:val="TableContents"/>
              <w:bidi w:val="0"/>
              <w:spacing w:before="0" w:after="283"/>
              <w:jc w:val="left"/>
              <w:rPr>
                <w:sz w:val="20"/>
              </w:rPr>
            </w:pPr>
            <w:r>
              <w:rPr>
                <w:sz w:val="20"/>
              </w:rPr>
              <w:t>Jihan Wu</w:t>
            </w:r>
          </w:p>
        </w:tc>
      </w:tr>
      <w:tr>
        <w:trPr/>
        <w:tc>
          <w:tcPr>
            <w:tcW w:w="75"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sz w:val="20"/>
              </w:rPr>
            </w:pPr>
            <w:r>
              <w:rPr>
                <w:sz w:val="20"/>
              </w:rPr>
              <w:t>Title:</w:t>
            </w:r>
          </w:p>
        </w:tc>
        <w:tc>
          <w:tcPr>
            <w:tcW w:w="2267"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30523501ex99-1.htm"/>
      <w:bookmarkStart w:id="3" w:name="ksea030523501ex991"/>
      <w:bookmarkEnd w:id="2"/>
      <w:bookmarkEnd w:id="3"/>
      <w:r>
        <w:rPr>
          <w:b/>
        </w:rPr>
        <w:t>Exhibit 99.1</w:t>
      </w:r>
      <w:r>
        <w:br w:type="page"/>
      </w:r>
    </w:p>
    <w:p>
      <w:pPr>
        <w:pStyle w:val="TextBody"/>
        <w:bidi w:val="0"/>
        <w:jc w:val="center"/>
        <w:rPr/>
      </w:pPr>
      <w:r>
        <w:rPr/>
        <w:t> </w:t>
      </w:r>
    </w:p>
    <w:p>
      <w:pPr>
        <w:pStyle w:val="TextBody"/>
        <w:bidi w:val="0"/>
        <w:jc w:val="right"/>
        <w:rPr/>
      </w:pPr>
      <w:r>
        <w:rPr/>
        <w:drawing>
          <wp:inline distT="0" distB="0" distL="0" distR="0">
            <wp:extent cx="97155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71550" cy="771525"/>
                    </a:xfrm>
                    <a:prstGeom prst="rect">
                      <a:avLst/>
                    </a:prstGeom>
                  </pic:spPr>
                </pic:pic>
              </a:graphicData>
            </a:graphic>
          </wp:inline>
        </w:drawing>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Announces August 2026 Production and Operations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Monthly Highlights</w:t>
      </w:r>
    </w:p>
    <w:p>
      <w:pPr>
        <w:pStyle w:val="TextBody"/>
        <w:bidi w:val="0"/>
        <w:spacing w:before="0" w:after="0"/>
        <w:ind w:left="720" w:right="0" w:hanging="0"/>
        <w:jc w:val="left"/>
        <w:rPr>
          <w:caps w:val="false"/>
          <w:smallCaps w:val="false"/>
        </w:rPr>
      </w:pPr>
      <w:r>
        <w:rPr>
          <w:caps w:val="false"/>
          <w:smallCaps w:val="false"/>
        </w:rPr>
        <w:t> </w:t>
      </w:r>
    </w:p>
    <w:tbl>
      <w:tblPr>
        <w:tblW w:w="1068" w:type="dxa"/>
        <w:jc w:val="left"/>
        <w:tblInd w:w="0" w:type="dxa"/>
        <w:tblLayout w:type="fixed"/>
        <w:tblCellMar>
          <w:top w:w="0" w:type="dxa"/>
          <w:left w:w="0" w:type="dxa"/>
          <w:bottom w:w="0" w:type="dxa"/>
          <w:right w:w="0" w:type="dxa"/>
        </w:tblCellMar>
      </w:tblPr>
      <w:tblGrid>
        <w:gridCol w:w="38"/>
        <w:gridCol w:w="170"/>
        <w:gridCol w:w="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AI Cloud: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Bitdeer AI secured 100% contracted GPU capacity for its 9.5 MW A102 facility in Malaysia ahead of energization through long-term commitments, representing more than $800 million in total expected revenue.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Bitdeer has signed a non-binding Letter of Intent to develop an AI data center in Bhutan’s Gelephu Mindfulness City, targeting an initial 30 MW of renewable hydro/solar-powered capacity with a potential expansion pathway to 500 MW.</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Bitdeer AI executed a 10-year data center services agreement securing an additional 65.1 MW at its A202 facility on the Johor campus, scaling total campus AI Cloud capacity to 86.8 MW to capture high-density compute demand.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Colocation:</w:t>
            </w:r>
            <w:r>
              <w:rPr/>
              <w:t xml:space="preserve"> Bitdeer recently acquired 200 acres near existing 563 MW Rockdale facility to support AI/HPC infrastructure development.</w:t>
            </w:r>
          </w:p>
        </w:tc>
      </w:tr>
    </w:tbl>
    <w:p>
      <w:pPr>
        <w:pStyle w:val="TextBody"/>
        <w:bidi w:val="0"/>
        <w:spacing w:before="0" w:after="283"/>
        <w:jc w:val="left"/>
        <w:rPr/>
      </w:pPr>
      <w:r>
        <w:rPr/>
        <w:t> </w:t>
      </w:r>
    </w:p>
    <w:tbl>
      <w:tblPr>
        <w:tblW w:w="5913" w:type="dxa"/>
        <w:jc w:val="left"/>
        <w:tblInd w:w="0" w:type="dxa"/>
        <w:tblLayout w:type="fixed"/>
        <w:tblCellMar>
          <w:top w:w="0" w:type="dxa"/>
          <w:left w:w="0" w:type="dxa"/>
          <w:bottom w:w="0" w:type="dxa"/>
          <w:right w:w="0" w:type="dxa"/>
        </w:tblCellMar>
      </w:tblPr>
      <w:tblGrid>
        <w:gridCol w:w="38"/>
        <w:gridCol w:w="17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pPr>
            <w:r>
              <w:rPr>
                <w:b/>
              </w:rPr>
              <w:t>Bitcoin:</w:t>
            </w:r>
            <w:r>
              <w:rPr/>
              <w:t xml:space="preserve"> Production increased 249% Y/Y to 1,310 Bitcoins.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Metrics Summary</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011"/>
        <w:gridCol w:w="60"/>
        <w:gridCol w:w="793"/>
        <w:gridCol w:w="60"/>
        <w:gridCol w:w="3772"/>
        <w:gridCol w:w="60"/>
        <w:gridCol w:w="1667"/>
        <w:gridCol w:w="60"/>
        <w:gridCol w:w="1592"/>
        <w:gridCol w:w="60"/>
        <w:gridCol w:w="1070"/>
      </w:tblGrid>
      <w:tr>
        <w:trPr/>
        <w:tc>
          <w:tcPr>
            <w:tcW w:w="1011" w:type="dxa"/>
            <w:tcBorders>
              <w:bottom w:val="single" w:sz="12" w:space="0" w:color="000000"/>
            </w:tcBorders>
            <w:vAlign w:val="center"/>
          </w:tcPr>
          <w:p>
            <w:pPr>
              <w:pStyle w:val="TableContents"/>
              <w:bidi w:val="0"/>
              <w:spacing w:before="0" w:after="283"/>
              <w:jc w:val="center"/>
              <w:rPr>
                <w:b/>
              </w:rPr>
            </w:pPr>
            <w:r>
              <w:rPr>
                <w:b/>
              </w:rPr>
              <w:t xml:space="preserve">AI Cloud </w:t>
              <w:br/>
              <w:t xml:space="preserve">Pipeline </w:t>
              <w:br/>
              <w:t>(IT MW)</w:t>
            </w:r>
          </w:p>
        </w:tc>
        <w:tc>
          <w:tcPr>
            <w:tcW w:w="60" w:type="dxa"/>
            <w:tcBorders/>
            <w:tcMar>
              <w:bottom w:w="0" w:type="dxa"/>
            </w:tcMar>
            <w:vAlign w:val="center"/>
          </w:tcPr>
          <w:p>
            <w:pPr>
              <w:pStyle w:val="TableContents"/>
              <w:bidi w:val="0"/>
              <w:spacing w:before="0" w:after="283"/>
              <w:jc w:val="left"/>
              <w:rPr/>
            </w:pPr>
            <w:r>
              <w:rPr/>
              <w:t> </w:t>
            </w:r>
          </w:p>
        </w:tc>
        <w:tc>
          <w:tcPr>
            <w:tcW w:w="79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AI Cloud </w:t>
              <w:br/>
              <w:t>ARR</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3772" w:type="dxa"/>
            <w:tcBorders>
              <w:bottom w:val="single" w:sz="12" w:space="0" w:color="000000"/>
            </w:tcBorders>
            <w:vAlign w:val="center"/>
          </w:tcPr>
          <w:p>
            <w:pPr>
              <w:pStyle w:val="TableContents"/>
              <w:bidi w:val="0"/>
              <w:spacing w:before="0" w:after="283"/>
              <w:jc w:val="center"/>
              <w:rPr>
                <w:b/>
              </w:rPr>
            </w:pPr>
            <w:r>
              <w:rPr>
                <w:b/>
              </w:rPr>
              <w:t>Colocation AI Data Center</w:t>
            </w:r>
          </w:p>
        </w:tc>
        <w:tc>
          <w:tcPr>
            <w:tcW w:w="60" w:type="dxa"/>
            <w:tcBorders/>
            <w:tcMar>
              <w:bottom w:w="0" w:type="dxa"/>
            </w:tcMar>
            <w:vAlign w:val="center"/>
          </w:tcPr>
          <w:p>
            <w:pPr>
              <w:pStyle w:val="TableContents"/>
              <w:bidi w:val="0"/>
              <w:spacing w:before="0" w:after="283"/>
              <w:jc w:val="left"/>
              <w:rPr/>
            </w:pPr>
            <w:r>
              <w:rPr/>
              <w:t> </w:t>
            </w:r>
          </w:p>
        </w:tc>
        <w:tc>
          <w:tcPr>
            <w:tcW w:w="1667"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Self-Mining Hash Rate</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159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Co-Mining Hash Rate</w:t>
            </w:r>
            <w:r>
              <w:rPr>
                <w:rFonts w:ascii="Times New Roman;Times;Serif" w:hAnsi="Times New Roman;Times;Serif"/>
                <w:b/>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12" w:space="0" w:color="000000"/>
            </w:tcBorders>
            <w:vAlign w:val="center"/>
          </w:tcPr>
          <w:p>
            <w:pPr>
              <w:pStyle w:val="TableContents"/>
              <w:bidi w:val="0"/>
              <w:spacing w:before="0" w:after="283"/>
              <w:jc w:val="center"/>
              <w:rPr>
                <w:b/>
              </w:rPr>
            </w:pPr>
            <w:r>
              <w:rPr>
                <w:b/>
              </w:rPr>
              <w:t>BTC Mined</w:t>
            </w:r>
          </w:p>
        </w:tc>
      </w:tr>
      <w:tr>
        <w:trPr/>
        <w:tc>
          <w:tcPr>
            <w:tcW w:w="1011" w:type="dxa"/>
            <w:tcBorders/>
            <w:shd w:fill="CCEEFF" w:val="clear"/>
            <w:tcMar>
              <w:bottom w:w="0" w:type="dxa"/>
            </w:tcMar>
            <w:vAlign w:val="center"/>
          </w:tcPr>
          <w:p>
            <w:pPr>
              <w:pStyle w:val="TableContents"/>
              <w:bidi w:val="0"/>
              <w:spacing w:before="0" w:after="283"/>
              <w:jc w:val="center"/>
              <w:rPr>
                <w:b/>
              </w:rPr>
            </w:pPr>
            <w:r>
              <w:rPr>
                <w:b/>
              </w:rPr>
              <w:t>206.5 MW</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3" w:type="dxa"/>
            <w:tcBorders/>
            <w:shd w:fill="CCEEFF" w:val="clear"/>
            <w:tcMar>
              <w:bottom w:w="0" w:type="dxa"/>
            </w:tcMar>
            <w:vAlign w:val="center"/>
          </w:tcPr>
          <w:p>
            <w:pPr>
              <w:pStyle w:val="TableContents"/>
              <w:bidi w:val="0"/>
              <w:spacing w:before="0" w:after="283"/>
              <w:jc w:val="center"/>
              <w:rPr>
                <w:b/>
              </w:rPr>
            </w:pPr>
            <w:r>
              <w:rPr>
                <w:b/>
              </w:rPr>
              <w:t>~$86M</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72" w:type="dxa"/>
            <w:tcBorders/>
            <w:shd w:fill="CCEEFF" w:val="clear"/>
            <w:tcMar>
              <w:bottom w:w="0" w:type="dxa"/>
            </w:tcMar>
            <w:vAlign w:val="center"/>
          </w:tcPr>
          <w:p>
            <w:pPr>
              <w:pStyle w:val="TableContents"/>
              <w:bidi w:val="0"/>
              <w:spacing w:before="0" w:after="283"/>
              <w:jc w:val="center"/>
              <w:rPr>
                <w:b/>
              </w:rPr>
            </w:pPr>
            <w:r>
              <w:rPr>
                <w:b/>
              </w:rPr>
              <w:t>$4.7B, 16-Year Lease with Volta at Tydal, Norway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7" w:type="dxa"/>
            <w:tcBorders/>
            <w:shd w:fill="CCEEFF" w:val="clear"/>
            <w:tcMar>
              <w:bottom w:w="0" w:type="dxa"/>
            </w:tcMar>
            <w:vAlign w:val="center"/>
          </w:tcPr>
          <w:p>
            <w:pPr>
              <w:pStyle w:val="TableContents"/>
              <w:bidi w:val="0"/>
              <w:spacing w:before="0" w:after="283"/>
              <w:jc w:val="center"/>
              <w:rPr>
                <w:b/>
              </w:rPr>
            </w:pPr>
            <w:r>
              <w:rPr>
                <w:b/>
              </w:rPr>
              <w:t>79.9 (EH/s)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2" w:type="dxa"/>
            <w:tcBorders/>
            <w:shd w:fill="CCEEFF" w:val="clear"/>
            <w:tcMar>
              <w:bottom w:w="0" w:type="dxa"/>
            </w:tcMar>
            <w:vAlign w:val="center"/>
          </w:tcPr>
          <w:p>
            <w:pPr>
              <w:pStyle w:val="TableContents"/>
              <w:bidi w:val="0"/>
              <w:spacing w:before="0" w:after="283"/>
              <w:jc w:val="center"/>
              <w:rPr>
                <w:b/>
              </w:rPr>
            </w:pPr>
            <w:r>
              <w:rPr>
                <w:b/>
              </w:rPr>
              <w:t>21.6 (EH/s)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b/>
              </w:rPr>
            </w:pPr>
            <w:r>
              <w:rPr>
                <w:b/>
              </w:rPr>
              <w:t>1,310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SINGAPORE, September 17, 2026 (GLOBE NEWSWIRE) </w:t>
      </w:r>
      <w:r>
        <w:rPr>
          <w:rFonts w:ascii="Times New Roman;Times;Serif" w:hAnsi="Times New Roman;Times;Serif"/>
          <w:b w:val="false"/>
          <w:i w:val="false"/>
          <w:caps w:val="false"/>
          <w:smallCaps w:val="false"/>
          <w:sz w:val="20"/>
        </w:rPr>
        <w:t>-- Bitdeer Technologies Group (NASDAQ: BTDR) (“</w:t>
      </w:r>
      <w:r>
        <w:rPr>
          <w:rFonts w:ascii="Times New Roman;Times;Serif" w:hAnsi="Times New Roman;Times;Serif"/>
          <w:b/>
          <w:i w:val="false"/>
          <w:caps w:val="false"/>
          <w:smallCaps w:val="false"/>
          <w:sz w:val="20"/>
        </w:rPr>
        <w:t>Bitdeer</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world-leading technology company for AI and Bitcoin mining infrastructure, today announced its unaudited operations updates for August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AI-cloud strategy continues to validate the vertically integrated model we’ve built at Bitdeer, converting powered land into large-scale, contracted AI/HPC revenue in addition to simply mining Bitcoin,” said Michael G. Potter, Chief Financial Officer of Bitdeer. “Tydal and the full contracting of our A102 facility are proof points that customers value the reliability and scale of our platform.” Mr. Potter continued, “We remain focused on turning that demand into durable, high-margin revenue that complements our mining business, and we’re encouraged by the pipeline of opportunities ahead.”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AI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Colocation AI Data Center: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Bitdeer recently acquired 200 acres near existing 563 MW Rockdale facility to support AI/HPC infrastructure development. Outright ownership provides the long-term site control required to develop and finance AI/HPC data center infrastructure. Bitdeer believes its Rockdale site, with its existing large-load interconnection and established transmission infrastructure, is well positioned to receive additional power allocations over the coming years.</w:t>
            </w:r>
          </w:p>
        </w:tc>
      </w:tr>
    </w:tbl>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283"/>
        <w:jc w:val="left"/>
        <w:rPr/>
      </w:pPr>
      <w:r>
        <w:rPr/>
        <w:t> </w:t>
      </w:r>
    </w:p>
    <w:p>
      <w:pPr>
        <w:pStyle w:val="TextBody"/>
        <w:bidi w:val="0"/>
        <w:jc w:val="right"/>
        <w:rPr/>
      </w:pPr>
      <w:r>
        <w:rPr/>
        <w:drawing>
          <wp:inline distT="0" distB="0" distL="0" distR="0">
            <wp:extent cx="971550" cy="771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71550" cy="771525"/>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Bitdeer announced a 16-Year AI/HPC Data Center Lease for its Tydal, Norway Campus, representing approximately $4.7 billion of total contract value over the initial base term, with the potential to reach a total contract value of approximately $8.0 billion if the tenant exercises its one-time 8-year lease extension.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Tydal, Norway AI Data Center expected to be among Norway’s largest and most efficient AI data centers upon completion. With a PUE of approximately 1.1 and running on 100% renewable energy, it sets a compelling standard for data center performance, at scale.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 Cloud Key Metrics: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25"/>
        <w:gridCol w:w="60"/>
        <w:gridCol w:w="3758"/>
        <w:gridCol w:w="60"/>
        <w:gridCol w:w="3202"/>
      </w:tblGrid>
      <w:tr>
        <w:trPr/>
        <w:tc>
          <w:tcPr>
            <w:tcW w:w="3125" w:type="dxa"/>
            <w:tcBorders>
              <w:bottom w:val="single" w:sz="12" w:space="0" w:color="000000"/>
            </w:tcBorders>
            <w:vAlign w:val="center"/>
          </w:tcPr>
          <w:p>
            <w:pPr>
              <w:pStyle w:val="TableContents"/>
              <w:bidi w:val="0"/>
              <w:spacing w:before="0" w:after="283"/>
              <w:jc w:val="both"/>
              <w:rPr>
                <w:b/>
              </w:rPr>
            </w:pPr>
            <w:r>
              <w:rPr>
                <w:b/>
              </w:rPr>
              <w:t>Metric</w:t>
            </w:r>
          </w:p>
        </w:tc>
        <w:tc>
          <w:tcPr>
            <w:tcW w:w="60" w:type="dxa"/>
            <w:tcBorders/>
            <w:tcMar>
              <w:bottom w:w="0" w:type="dxa"/>
            </w:tcMar>
            <w:vAlign w:val="center"/>
          </w:tcPr>
          <w:p>
            <w:pPr>
              <w:pStyle w:val="TableContents"/>
              <w:bidi w:val="0"/>
              <w:spacing w:before="0" w:after="283"/>
              <w:jc w:val="left"/>
              <w:rPr/>
            </w:pPr>
            <w:r>
              <w:rPr/>
              <w:t> </w:t>
            </w:r>
          </w:p>
        </w:tc>
        <w:tc>
          <w:tcPr>
            <w:tcW w:w="3758" w:type="dxa"/>
            <w:tcBorders>
              <w:bottom w:val="single" w:sz="12" w:space="0" w:color="000000"/>
            </w:tcBorders>
            <w:vAlign w:val="center"/>
          </w:tcPr>
          <w:p>
            <w:pPr>
              <w:pStyle w:val="TableContents"/>
              <w:bidi w:val="0"/>
              <w:spacing w:before="0" w:after="283"/>
              <w:jc w:val="center"/>
              <w:rPr>
                <w:b/>
              </w:rPr>
            </w:pPr>
            <w:r>
              <w:rPr>
                <w:b/>
              </w:rPr>
              <w:t>August 2026</w:t>
            </w:r>
          </w:p>
        </w:tc>
        <w:tc>
          <w:tcPr>
            <w:tcW w:w="60" w:type="dxa"/>
            <w:tcBorders/>
            <w:tcMar>
              <w:bottom w:w="0" w:type="dxa"/>
            </w:tcMar>
            <w:vAlign w:val="center"/>
          </w:tcPr>
          <w:p>
            <w:pPr>
              <w:pStyle w:val="TableContents"/>
              <w:bidi w:val="0"/>
              <w:spacing w:before="0" w:after="283"/>
              <w:jc w:val="left"/>
              <w:rPr/>
            </w:pPr>
            <w:r>
              <w:rPr/>
              <w:t> </w:t>
            </w:r>
          </w:p>
        </w:tc>
        <w:tc>
          <w:tcPr>
            <w:tcW w:w="3202" w:type="dxa"/>
            <w:tcBorders>
              <w:bottom w:val="single" w:sz="12" w:space="0" w:color="000000"/>
            </w:tcBorders>
            <w:vAlign w:val="center"/>
          </w:tcPr>
          <w:p>
            <w:pPr>
              <w:pStyle w:val="TableContents"/>
              <w:bidi w:val="0"/>
              <w:spacing w:before="0" w:after="283"/>
              <w:jc w:val="center"/>
              <w:rPr>
                <w:b/>
              </w:rPr>
            </w:pPr>
            <w:r>
              <w:rPr>
                <w:b/>
              </w:rPr>
              <w:t>July 2026</w:t>
            </w:r>
          </w:p>
        </w:tc>
      </w:tr>
      <w:tr>
        <w:trPr/>
        <w:tc>
          <w:tcPr>
            <w:tcW w:w="3125" w:type="dxa"/>
            <w:tcBorders/>
            <w:shd w:fill="CCEEFF" w:val="clear"/>
            <w:tcMar>
              <w:bottom w:w="0" w:type="dxa"/>
            </w:tcMar>
            <w:vAlign w:val="center"/>
          </w:tcPr>
          <w:p>
            <w:pPr>
              <w:pStyle w:val="TableContents"/>
              <w:bidi w:val="0"/>
              <w:spacing w:before="0" w:after="283"/>
              <w:jc w:val="both"/>
              <w:rPr/>
            </w:pPr>
            <w:r>
              <w:rPr/>
              <w:t>GPU Amount Deployed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58" w:type="dxa"/>
            <w:tcBorders/>
            <w:shd w:fill="CCEEFF" w:val="clear"/>
            <w:tcMar>
              <w:bottom w:w="0" w:type="dxa"/>
            </w:tcMar>
            <w:vAlign w:val="center"/>
          </w:tcPr>
          <w:p>
            <w:pPr>
              <w:pStyle w:val="TableContents"/>
              <w:bidi w:val="0"/>
              <w:spacing w:before="0" w:after="283"/>
              <w:jc w:val="center"/>
              <w:rPr/>
            </w:pPr>
            <w:r>
              <w:rPr/>
              <w:t>4,328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2" w:type="dxa"/>
            <w:tcBorders/>
            <w:shd w:fill="CCEEFF" w:val="clear"/>
            <w:tcMar>
              <w:bottom w:w="0" w:type="dxa"/>
            </w:tcMar>
            <w:vAlign w:val="center"/>
          </w:tcPr>
          <w:p>
            <w:pPr>
              <w:pStyle w:val="TableContents"/>
              <w:bidi w:val="0"/>
              <w:spacing w:before="0" w:after="283"/>
              <w:jc w:val="center"/>
              <w:rPr/>
            </w:pPr>
            <w:r>
              <w:rPr/>
              <w:t>4,248</w:t>
            </w:r>
          </w:p>
        </w:tc>
      </w:tr>
      <w:tr>
        <w:trPr/>
        <w:tc>
          <w:tcPr>
            <w:tcW w:w="3125" w:type="dxa"/>
            <w:tcBorders/>
            <w:shd w:fill="FFFFFF" w:val="clear"/>
            <w:tcMar>
              <w:bottom w:w="0" w:type="dxa"/>
            </w:tcMar>
            <w:vAlign w:val="center"/>
          </w:tcPr>
          <w:p>
            <w:pPr>
              <w:pStyle w:val="TableContents"/>
              <w:bidi w:val="0"/>
              <w:spacing w:before="0" w:after="283"/>
              <w:jc w:val="both"/>
              <w:rPr/>
            </w:pPr>
            <w:r>
              <w:rPr/>
              <w:t>GPU Types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58" w:type="dxa"/>
            <w:tcBorders/>
            <w:shd w:fill="FFFFFF" w:val="clear"/>
            <w:tcMar>
              <w:bottom w:w="0" w:type="dxa"/>
            </w:tcMar>
            <w:vAlign w:val="center"/>
          </w:tcPr>
          <w:p>
            <w:pPr>
              <w:pStyle w:val="TableContents"/>
              <w:bidi w:val="0"/>
              <w:spacing w:before="0" w:after="283"/>
              <w:jc w:val="center"/>
              <w:rPr/>
            </w:pPr>
            <w:r>
              <w:rPr/>
              <w:t>H100, H200, B200, B300, GB200, GB300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2" w:type="dxa"/>
            <w:tcBorders/>
            <w:shd w:fill="FFFFFF" w:val="clear"/>
            <w:tcMar>
              <w:bottom w:w="0" w:type="dxa"/>
            </w:tcMar>
            <w:vAlign w:val="center"/>
          </w:tcPr>
          <w:p>
            <w:pPr>
              <w:pStyle w:val="TableContents"/>
              <w:bidi w:val="0"/>
              <w:spacing w:before="0" w:after="283"/>
              <w:jc w:val="center"/>
              <w:rPr/>
            </w:pPr>
            <w:r>
              <w:rPr/>
              <w:t>H100, H200, B200, GB200, GB300</w:t>
            </w:r>
          </w:p>
        </w:tc>
      </w:tr>
      <w:tr>
        <w:trPr/>
        <w:tc>
          <w:tcPr>
            <w:tcW w:w="31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Utilization Rate</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58" w:type="dxa"/>
            <w:tcBorders/>
            <w:shd w:fill="CCEEFF" w:val="clear"/>
            <w:tcMar>
              <w:bottom w:w="0" w:type="dxa"/>
            </w:tcMar>
            <w:vAlign w:val="center"/>
          </w:tcPr>
          <w:p>
            <w:pPr>
              <w:pStyle w:val="TableContents"/>
              <w:bidi w:val="0"/>
              <w:spacing w:before="0" w:after="283"/>
              <w:jc w:val="center"/>
              <w:rPr/>
            </w:pPr>
            <w:r>
              <w:rPr/>
              <w:t>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2" w:type="dxa"/>
            <w:tcBorders/>
            <w:shd w:fill="CCEEFF" w:val="clear"/>
            <w:tcMar>
              <w:bottom w:w="0" w:type="dxa"/>
            </w:tcMar>
            <w:vAlign w:val="center"/>
          </w:tcPr>
          <w:p>
            <w:pPr>
              <w:pStyle w:val="TableContents"/>
              <w:bidi w:val="0"/>
              <w:spacing w:before="0" w:after="283"/>
              <w:jc w:val="center"/>
              <w:rPr/>
            </w:pPr>
            <w:r>
              <w:rPr/>
              <w:t>95%</w:t>
            </w:r>
          </w:p>
        </w:tc>
      </w:tr>
      <w:tr>
        <w:trPr/>
        <w:tc>
          <w:tcPr>
            <w:tcW w:w="3125" w:type="dxa"/>
            <w:tcBorders/>
            <w:shd w:fill="FFFFFF" w:val="clear"/>
            <w:tcMar>
              <w:bottom w:w="0" w:type="dxa"/>
            </w:tcMar>
            <w:vAlign w:val="center"/>
          </w:tcPr>
          <w:p>
            <w:pPr>
              <w:pStyle w:val="TableContents"/>
              <w:bidi w:val="0"/>
              <w:spacing w:before="0" w:after="283"/>
              <w:jc w:val="both"/>
              <w:rPr/>
            </w:pPr>
            <w:r>
              <w:rPr/>
              <w:t>GPUs Under External Subscription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58" w:type="dxa"/>
            <w:tcBorders/>
            <w:shd w:fill="FFFFFF" w:val="clear"/>
            <w:tcMar>
              <w:bottom w:w="0" w:type="dxa"/>
            </w:tcMar>
            <w:vAlign w:val="center"/>
          </w:tcPr>
          <w:p>
            <w:pPr>
              <w:pStyle w:val="TableContents"/>
              <w:bidi w:val="0"/>
              <w:spacing w:before="0" w:after="283"/>
              <w:jc w:val="center"/>
              <w:rPr/>
            </w:pPr>
            <w:r>
              <w:rPr/>
              <w:t>3,998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2" w:type="dxa"/>
            <w:tcBorders/>
            <w:shd w:fill="FFFFFF" w:val="clear"/>
            <w:tcMar>
              <w:bottom w:w="0" w:type="dxa"/>
            </w:tcMar>
            <w:vAlign w:val="center"/>
          </w:tcPr>
          <w:p>
            <w:pPr>
              <w:pStyle w:val="TableContents"/>
              <w:bidi w:val="0"/>
              <w:spacing w:before="0" w:after="283"/>
              <w:jc w:val="center"/>
              <w:rPr/>
            </w:pPr>
            <w:r>
              <w:rPr/>
              <w:t>3,517</w:t>
            </w:r>
          </w:p>
        </w:tc>
      </w:tr>
      <w:tr>
        <w:trPr/>
        <w:tc>
          <w:tcPr>
            <w:tcW w:w="31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ARR</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58" w:type="dxa"/>
            <w:tcBorders/>
            <w:shd w:fill="CCEEFF" w:val="clear"/>
            <w:tcMar>
              <w:bottom w:w="0" w:type="dxa"/>
            </w:tcMar>
            <w:vAlign w:val="center"/>
          </w:tcPr>
          <w:p>
            <w:pPr>
              <w:pStyle w:val="TableContents"/>
              <w:bidi w:val="0"/>
              <w:spacing w:before="0" w:after="283"/>
              <w:jc w:val="center"/>
              <w:rPr/>
            </w:pPr>
            <w:r>
              <w:rPr/>
              <w:t>~$86M</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2" w:type="dxa"/>
            <w:tcBorders/>
            <w:shd w:fill="CCEEFF" w:val="clear"/>
            <w:tcMar>
              <w:bottom w:w="0" w:type="dxa"/>
            </w:tcMar>
            <w:vAlign w:val="center"/>
          </w:tcPr>
          <w:p>
            <w:pPr>
              <w:pStyle w:val="TableContents"/>
              <w:bidi w:val="0"/>
              <w:spacing w:before="0" w:after="283"/>
              <w:jc w:val="center"/>
              <w:rPr/>
            </w:pPr>
            <w:r>
              <w:rPr/>
              <w:t>~$76M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 Cloud Pipeline Update: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42"/>
        <w:gridCol w:w="60"/>
        <w:gridCol w:w="963"/>
        <w:gridCol w:w="60"/>
        <w:gridCol w:w="920"/>
        <w:gridCol w:w="60"/>
        <w:gridCol w:w="1516"/>
        <w:gridCol w:w="60"/>
        <w:gridCol w:w="675"/>
        <w:gridCol w:w="60"/>
        <w:gridCol w:w="1581"/>
        <w:gridCol w:w="60"/>
        <w:gridCol w:w="1930"/>
        <w:gridCol w:w="60"/>
        <w:gridCol w:w="1258"/>
      </w:tblGrid>
      <w:tr>
        <w:trPr/>
        <w:tc>
          <w:tcPr>
            <w:tcW w:w="942" w:type="dxa"/>
            <w:tcBorders>
              <w:bottom w:val="single" w:sz="12" w:space="0" w:color="000000"/>
            </w:tcBorders>
            <w:vAlign w:val="center"/>
          </w:tcPr>
          <w:p>
            <w:pPr>
              <w:pStyle w:val="TableContents"/>
              <w:bidi w:val="0"/>
              <w:spacing w:before="0" w:after="283"/>
              <w:jc w:val="left"/>
              <w:rPr>
                <w:b/>
              </w:rPr>
            </w:pPr>
            <w:r>
              <w:rPr>
                <w:b/>
              </w:rPr>
              <w:t>Data Center</w:t>
            </w:r>
          </w:p>
        </w:tc>
        <w:tc>
          <w:tcPr>
            <w:tcW w:w="60" w:type="dxa"/>
            <w:tcBorders/>
            <w:tcMar>
              <w:bottom w:w="0" w:type="dxa"/>
            </w:tcMar>
            <w:vAlign w:val="center"/>
          </w:tcPr>
          <w:p>
            <w:pPr>
              <w:pStyle w:val="TableContents"/>
              <w:bidi w:val="0"/>
              <w:spacing w:before="0" w:after="283"/>
              <w:jc w:val="center"/>
              <w:rPr/>
            </w:pPr>
            <w:r>
              <w:rPr/>
              <w:t> </w:t>
            </w:r>
          </w:p>
        </w:tc>
        <w:tc>
          <w:tcPr>
            <w:tcW w:w="963" w:type="dxa"/>
            <w:tcBorders>
              <w:bottom w:val="single" w:sz="12" w:space="0" w:color="000000"/>
            </w:tcBorders>
            <w:vAlign w:val="center"/>
          </w:tcPr>
          <w:p>
            <w:pPr>
              <w:pStyle w:val="TableContents"/>
              <w:bidi w:val="0"/>
              <w:spacing w:before="0" w:after="283"/>
              <w:jc w:val="center"/>
              <w:rPr>
                <w:b/>
              </w:rPr>
            </w:pPr>
            <w:r>
              <w:rPr>
                <w:b/>
              </w:rPr>
              <w:t>Location</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rPr>
            </w:pPr>
            <w:r>
              <w:rPr>
                <w:b/>
              </w:rPr>
              <w:t>IT Load (MW)</w:t>
            </w:r>
          </w:p>
        </w:tc>
        <w:tc>
          <w:tcPr>
            <w:tcW w:w="60" w:type="dxa"/>
            <w:tcBorders/>
            <w:tcMar>
              <w:bottom w:w="0" w:type="dxa"/>
            </w:tcMar>
            <w:vAlign w:val="center"/>
          </w:tcPr>
          <w:p>
            <w:pPr>
              <w:pStyle w:val="TableContents"/>
              <w:bidi w:val="0"/>
              <w:spacing w:before="0" w:after="283"/>
              <w:jc w:val="center"/>
              <w:rPr/>
            </w:pPr>
            <w:r>
              <w:rPr/>
              <w:t> </w:t>
            </w:r>
          </w:p>
        </w:tc>
        <w:tc>
          <w:tcPr>
            <w:tcW w:w="1516" w:type="dxa"/>
            <w:tcBorders>
              <w:bottom w:val="single" w:sz="12" w:space="0" w:color="000000"/>
            </w:tcBorders>
            <w:vAlign w:val="center"/>
          </w:tcPr>
          <w:p>
            <w:pPr>
              <w:pStyle w:val="TableContents"/>
              <w:bidi w:val="0"/>
              <w:spacing w:before="0" w:after="283"/>
              <w:jc w:val="center"/>
              <w:rPr>
                <w:b/>
              </w:rPr>
            </w:pPr>
            <w:r>
              <w:rPr>
                <w:b/>
              </w:rPr>
              <w:t>GPU Platform</w:t>
            </w:r>
          </w:p>
        </w:tc>
        <w:tc>
          <w:tcPr>
            <w:tcW w:w="60" w:type="dxa"/>
            <w:tcBorders/>
            <w:tcMar>
              <w:bottom w:w="0" w:type="dxa"/>
            </w:tcMar>
            <w:vAlign w:val="center"/>
          </w:tcPr>
          <w:p>
            <w:pPr>
              <w:pStyle w:val="TableContents"/>
              <w:bidi w:val="0"/>
              <w:spacing w:before="0" w:after="283"/>
              <w:jc w:val="center"/>
              <w:rPr/>
            </w:pPr>
            <w:r>
              <w:rPr/>
              <w:t> </w:t>
            </w:r>
          </w:p>
        </w:tc>
        <w:tc>
          <w:tcPr>
            <w:tcW w:w="675" w:type="dxa"/>
            <w:tcBorders>
              <w:bottom w:val="single" w:sz="12" w:space="0" w:color="000000"/>
            </w:tcBorders>
            <w:vAlign w:val="center"/>
          </w:tcPr>
          <w:p>
            <w:pPr>
              <w:pStyle w:val="TableContents"/>
              <w:bidi w:val="0"/>
              <w:spacing w:before="0" w:after="283"/>
              <w:jc w:val="center"/>
              <w:rPr>
                <w:b/>
              </w:rPr>
            </w:pPr>
            <w:r>
              <w:rPr>
                <w:b/>
              </w:rPr>
              <w:t>DC RFS</w:t>
            </w:r>
          </w:p>
        </w:tc>
        <w:tc>
          <w:tcPr>
            <w:tcW w:w="60" w:type="dxa"/>
            <w:tcBorders/>
            <w:tcMar>
              <w:bottom w:w="0" w:type="dxa"/>
            </w:tcMar>
            <w:vAlign w:val="center"/>
          </w:tcPr>
          <w:p>
            <w:pPr>
              <w:pStyle w:val="TableContents"/>
              <w:bidi w:val="0"/>
              <w:spacing w:before="0" w:after="283"/>
              <w:jc w:val="center"/>
              <w:rPr/>
            </w:pPr>
            <w:r>
              <w:rPr/>
              <w:t> </w:t>
            </w:r>
          </w:p>
        </w:tc>
        <w:tc>
          <w:tcPr>
            <w:tcW w:w="1581" w:type="dxa"/>
            <w:tcBorders>
              <w:bottom w:val="single" w:sz="12" w:space="0" w:color="000000"/>
            </w:tcBorders>
            <w:vAlign w:val="center"/>
          </w:tcPr>
          <w:p>
            <w:pPr>
              <w:pStyle w:val="TableContents"/>
              <w:bidi w:val="0"/>
              <w:spacing w:before="0" w:after="283"/>
              <w:jc w:val="center"/>
              <w:rPr>
                <w:b/>
              </w:rPr>
            </w:pPr>
            <w:r>
              <w:rPr>
                <w:b/>
              </w:rPr>
              <w:t>Cloud Contract Status</w:t>
            </w:r>
          </w:p>
        </w:tc>
        <w:tc>
          <w:tcPr>
            <w:tcW w:w="60" w:type="dxa"/>
            <w:tcBorders/>
            <w:tcMar>
              <w:bottom w:w="0" w:type="dxa"/>
            </w:tcMar>
            <w:vAlign w:val="center"/>
          </w:tcPr>
          <w:p>
            <w:pPr>
              <w:pStyle w:val="TableContents"/>
              <w:bidi w:val="0"/>
              <w:spacing w:before="0" w:after="283"/>
              <w:jc w:val="center"/>
              <w:rPr/>
            </w:pPr>
            <w:r>
              <w:rPr/>
              <w:t> </w:t>
            </w:r>
          </w:p>
        </w:tc>
        <w:tc>
          <w:tcPr>
            <w:tcW w:w="1930" w:type="dxa"/>
            <w:tcBorders>
              <w:bottom w:val="single" w:sz="12" w:space="0" w:color="000000"/>
            </w:tcBorders>
            <w:vAlign w:val="center"/>
          </w:tcPr>
          <w:p>
            <w:pPr>
              <w:pStyle w:val="TableContents"/>
              <w:bidi w:val="0"/>
              <w:spacing w:before="0" w:after="283"/>
              <w:jc w:val="center"/>
              <w:rPr>
                <w:b/>
              </w:rPr>
            </w:pPr>
            <w:r>
              <w:rPr>
                <w:b/>
              </w:rPr>
              <w:t>Long Term Contract Coverage, %</w:t>
            </w:r>
          </w:p>
        </w:tc>
        <w:tc>
          <w:tcPr>
            <w:tcW w:w="60" w:type="dxa"/>
            <w:tcBorders/>
            <w:tcMar>
              <w:bottom w:w="0" w:type="dxa"/>
            </w:tcMar>
            <w:vAlign w:val="center"/>
          </w:tcPr>
          <w:p>
            <w:pPr>
              <w:pStyle w:val="TableContents"/>
              <w:bidi w:val="0"/>
              <w:spacing w:before="0" w:after="283"/>
              <w:jc w:val="center"/>
              <w:rPr/>
            </w:pPr>
            <w:r>
              <w:rPr/>
              <w:t> </w:t>
            </w:r>
          </w:p>
        </w:tc>
        <w:tc>
          <w:tcPr>
            <w:tcW w:w="1258" w:type="dxa"/>
            <w:tcBorders>
              <w:bottom w:val="single" w:sz="12" w:space="0" w:color="000000"/>
            </w:tcBorders>
            <w:vAlign w:val="center"/>
          </w:tcPr>
          <w:p>
            <w:pPr>
              <w:pStyle w:val="TableContents"/>
              <w:bidi w:val="0"/>
              <w:spacing w:before="0" w:after="283"/>
              <w:jc w:val="center"/>
              <w:rPr>
                <w:b/>
              </w:rPr>
            </w:pPr>
            <w:r>
              <w:rPr>
                <w:b/>
              </w:rPr>
              <w:t>DC Contract</w:t>
            </w:r>
          </w:p>
        </w:tc>
      </w:tr>
      <w:tr>
        <w:trPr/>
        <w:tc>
          <w:tcPr>
            <w:tcW w:w="942" w:type="dxa"/>
            <w:tcBorders/>
            <w:shd w:fill="CCEEFF" w:val="clear"/>
            <w:tcMar>
              <w:bottom w:w="0" w:type="dxa"/>
            </w:tcMar>
            <w:vAlign w:val="center"/>
          </w:tcPr>
          <w:p>
            <w:pPr>
              <w:pStyle w:val="TableContents"/>
              <w:bidi w:val="0"/>
              <w:spacing w:before="0" w:after="283"/>
              <w:jc w:val="left"/>
              <w:rPr>
                <w:b/>
              </w:rPr>
            </w:pPr>
            <w:r>
              <w:rPr>
                <w:b/>
              </w:rPr>
              <w:t>A101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63" w:type="dxa"/>
            <w:tcBorders/>
            <w:shd w:fill="CCEEFF" w:val="clear"/>
            <w:tcMar>
              <w:bottom w:w="0" w:type="dxa"/>
            </w:tcMar>
            <w:vAlign w:val="center"/>
          </w:tcPr>
          <w:p>
            <w:pPr>
              <w:pStyle w:val="TableContents"/>
              <w:bidi w:val="0"/>
              <w:spacing w:before="0" w:after="283"/>
              <w:jc w:val="center"/>
              <w:rPr/>
            </w:pPr>
            <w:r>
              <w:rPr/>
              <w:t>Malaysia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center"/>
              <w:rPr/>
            </w:pPr>
            <w:r>
              <w:rPr/>
              <w:t>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6" w:type="dxa"/>
            <w:tcBorders/>
            <w:shd w:fill="CCEEFF" w:val="clear"/>
            <w:tcMar>
              <w:bottom w:w="0" w:type="dxa"/>
            </w:tcMar>
            <w:vAlign w:val="center"/>
          </w:tcPr>
          <w:p>
            <w:pPr>
              <w:pStyle w:val="TableContents"/>
              <w:bidi w:val="0"/>
              <w:spacing w:before="0" w:after="283"/>
              <w:jc w:val="center"/>
              <w:rPr/>
            </w:pPr>
            <w:r>
              <w:rPr/>
              <w:t>GB200 and GB300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5" w:type="dxa"/>
            <w:tcBorders/>
            <w:shd w:fill="CCEEFF" w:val="clear"/>
            <w:tcMar>
              <w:bottom w:w="0" w:type="dxa"/>
            </w:tcMar>
            <w:vAlign w:val="center"/>
          </w:tcPr>
          <w:p>
            <w:pPr>
              <w:pStyle w:val="TableContents"/>
              <w:bidi w:val="0"/>
              <w:spacing w:before="0" w:after="283"/>
              <w:jc w:val="center"/>
              <w:rPr/>
            </w:pPr>
            <w:r>
              <w:rPr/>
              <w:t>Live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1" w:type="dxa"/>
            <w:tcBorders/>
            <w:shd w:fill="CCEEFF" w:val="clear"/>
            <w:tcMar>
              <w:bottom w:w="0" w:type="dxa"/>
            </w:tcMar>
            <w:vAlign w:val="center"/>
          </w:tcPr>
          <w:p>
            <w:pPr>
              <w:pStyle w:val="TableContents"/>
              <w:bidi w:val="0"/>
              <w:spacing w:before="0" w:after="283"/>
              <w:jc w:val="center"/>
              <w:rPr/>
            </w:pPr>
            <w:r>
              <w:rPr/>
              <w:t>Live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0" w:type="dxa"/>
            <w:tcBorders/>
            <w:shd w:fill="CCEEFF" w:val="clear"/>
            <w:tcMar>
              <w:bottom w:w="0" w:type="dxa"/>
            </w:tcMar>
            <w:vAlign w:val="center"/>
          </w:tcPr>
          <w:p>
            <w:pPr>
              <w:pStyle w:val="TableContents"/>
              <w:bidi w:val="0"/>
              <w:spacing w:before="0" w:after="283"/>
              <w:jc w:val="center"/>
              <w:rPr/>
            </w:pPr>
            <w:r>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center"/>
              <w:rPr/>
            </w:pPr>
            <w:r>
              <w:rPr/>
              <w:t>Signed</w:t>
            </w:r>
          </w:p>
        </w:tc>
      </w:tr>
      <w:tr>
        <w:trPr/>
        <w:tc>
          <w:tcPr>
            <w:tcW w:w="942" w:type="dxa"/>
            <w:tcBorders/>
            <w:shd w:fill="FFFFFF" w:val="clear"/>
            <w:tcMar>
              <w:bottom w:w="0" w:type="dxa"/>
            </w:tcMar>
            <w:vAlign w:val="center"/>
          </w:tcPr>
          <w:p>
            <w:pPr>
              <w:pStyle w:val="TableContents"/>
              <w:bidi w:val="0"/>
              <w:spacing w:before="0" w:after="283"/>
              <w:jc w:val="left"/>
              <w:rPr>
                <w:b/>
              </w:rPr>
            </w:pPr>
            <w:r>
              <w:rPr>
                <w:b/>
              </w:rPr>
              <w:t>A102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63" w:type="dxa"/>
            <w:tcBorders/>
            <w:shd w:fill="FFFFFF" w:val="clear"/>
            <w:tcMar>
              <w:bottom w:w="0" w:type="dxa"/>
            </w:tcMar>
            <w:vAlign w:val="center"/>
          </w:tcPr>
          <w:p>
            <w:pPr>
              <w:pStyle w:val="TableContents"/>
              <w:bidi w:val="0"/>
              <w:spacing w:before="0" w:after="283"/>
              <w:jc w:val="center"/>
              <w:rPr/>
            </w:pPr>
            <w:r>
              <w:rPr/>
              <w:t>Malaysia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pPr>
            <w:r>
              <w:rPr/>
              <w:t>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6" w:type="dxa"/>
            <w:tcBorders/>
            <w:shd w:fill="FFFFFF" w:val="clear"/>
            <w:tcMar>
              <w:bottom w:w="0" w:type="dxa"/>
            </w:tcMar>
            <w:vAlign w:val="center"/>
          </w:tcPr>
          <w:p>
            <w:pPr>
              <w:pStyle w:val="TableContents"/>
              <w:bidi w:val="0"/>
              <w:spacing w:before="0" w:after="283"/>
              <w:jc w:val="center"/>
              <w:rPr/>
            </w:pPr>
            <w:r>
              <w:rPr/>
              <w:t>GB300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5" w:type="dxa"/>
            <w:tcBorders/>
            <w:shd w:fill="FFFFFF" w:val="clear"/>
            <w:tcMar>
              <w:bottom w:w="0" w:type="dxa"/>
            </w:tcMar>
            <w:vAlign w:val="center"/>
          </w:tcPr>
          <w:p>
            <w:pPr>
              <w:pStyle w:val="TableContents"/>
              <w:bidi w:val="0"/>
              <w:spacing w:before="0" w:after="283"/>
              <w:jc w:val="center"/>
              <w:rPr/>
            </w:pPr>
            <w:r>
              <w:rPr/>
              <w:t>Nov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1" w:type="dxa"/>
            <w:tcBorders/>
            <w:shd w:fill="FFFFFF" w:val="clear"/>
            <w:tcMar>
              <w:bottom w:w="0" w:type="dxa"/>
            </w:tcMar>
            <w:vAlign w:val="center"/>
          </w:tcPr>
          <w:p>
            <w:pPr>
              <w:pStyle w:val="TableContents"/>
              <w:bidi w:val="0"/>
              <w:spacing w:before="0" w:after="283"/>
              <w:jc w:val="center"/>
              <w:rPr/>
            </w:pPr>
            <w:r>
              <w:rPr/>
              <w:t>100% signed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0" w:type="dxa"/>
            <w:tcBorders/>
            <w:shd w:fill="FFFFFF" w:val="clear"/>
            <w:tcMar>
              <w:bottom w:w="0" w:type="dxa"/>
            </w:tcMar>
            <w:vAlign w:val="center"/>
          </w:tcPr>
          <w:p>
            <w:pPr>
              <w:pStyle w:val="TableContents"/>
              <w:bidi w:val="0"/>
              <w:spacing w:before="0" w:after="283"/>
              <w:jc w:val="center"/>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8" w:type="dxa"/>
            <w:tcBorders/>
            <w:shd w:fill="FFFFFF" w:val="clear"/>
            <w:tcMar>
              <w:bottom w:w="0" w:type="dxa"/>
            </w:tcMar>
            <w:vAlign w:val="center"/>
          </w:tcPr>
          <w:p>
            <w:pPr>
              <w:pStyle w:val="TableContents"/>
              <w:bidi w:val="0"/>
              <w:spacing w:before="0" w:after="283"/>
              <w:jc w:val="center"/>
              <w:rPr/>
            </w:pPr>
            <w:r>
              <w:rPr/>
              <w:t>Signed</w:t>
            </w:r>
          </w:p>
        </w:tc>
      </w:tr>
      <w:tr>
        <w:trPr/>
        <w:tc>
          <w:tcPr>
            <w:tcW w:w="942" w:type="dxa"/>
            <w:tcBorders/>
            <w:shd w:fill="CCEEFF" w:val="clear"/>
            <w:tcMar>
              <w:bottom w:w="0" w:type="dxa"/>
            </w:tcMar>
            <w:vAlign w:val="center"/>
          </w:tcPr>
          <w:p>
            <w:pPr>
              <w:pStyle w:val="TableContents"/>
              <w:bidi w:val="0"/>
              <w:spacing w:before="0" w:after="283"/>
              <w:jc w:val="left"/>
              <w:rPr>
                <w:b/>
              </w:rPr>
            </w:pPr>
            <w:r>
              <w:rPr>
                <w:b/>
              </w:rPr>
              <w:t>A201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63" w:type="dxa"/>
            <w:tcBorders/>
            <w:shd w:fill="CCEEFF" w:val="clear"/>
            <w:tcMar>
              <w:bottom w:w="0" w:type="dxa"/>
            </w:tcMar>
            <w:vAlign w:val="center"/>
          </w:tcPr>
          <w:p>
            <w:pPr>
              <w:pStyle w:val="TableContents"/>
              <w:bidi w:val="0"/>
              <w:spacing w:before="0" w:after="283"/>
              <w:jc w:val="center"/>
              <w:rPr/>
            </w:pPr>
            <w:r>
              <w:rPr/>
              <w:t>Malaysia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center"/>
              <w:rPr/>
            </w:pPr>
            <w:r>
              <w:rPr/>
              <w:t>21.7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6" w:type="dxa"/>
            <w:tcBorders/>
            <w:shd w:fill="CCEEFF" w:val="clear"/>
            <w:tcMar>
              <w:bottom w:w="0" w:type="dxa"/>
            </w:tcMar>
            <w:vAlign w:val="center"/>
          </w:tcPr>
          <w:p>
            <w:pPr>
              <w:pStyle w:val="TableContents"/>
              <w:bidi w:val="0"/>
              <w:spacing w:before="0" w:after="283"/>
              <w:jc w:val="center"/>
              <w:rPr/>
            </w:pPr>
            <w:r>
              <w:rPr/>
              <w:t>GB300 and Vera Rubin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5" w:type="dxa"/>
            <w:tcBorders/>
            <w:shd w:fill="CCEEFF" w:val="clear"/>
            <w:tcMar>
              <w:bottom w:w="0" w:type="dxa"/>
            </w:tcMar>
            <w:vAlign w:val="center"/>
          </w:tcPr>
          <w:p>
            <w:pPr>
              <w:pStyle w:val="TableContents"/>
              <w:bidi w:val="0"/>
              <w:spacing w:before="0" w:after="283"/>
              <w:jc w:val="center"/>
              <w:rPr/>
            </w:pPr>
            <w:r>
              <w:rPr/>
              <w:t>Jan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1" w:type="dxa"/>
            <w:tcBorders/>
            <w:shd w:fill="CCEEFF" w:val="clear"/>
            <w:tcMar>
              <w:bottom w:w="0" w:type="dxa"/>
            </w:tcMar>
            <w:vAlign w:val="center"/>
          </w:tcPr>
          <w:p>
            <w:pPr>
              <w:pStyle w:val="TableContents"/>
              <w:bidi w:val="0"/>
              <w:spacing w:before="0" w:after="283"/>
              <w:jc w:val="center"/>
              <w:rPr/>
            </w:pPr>
            <w:r>
              <w:rPr/>
              <w:t>Late negotiations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center"/>
              <w:rPr/>
            </w:pPr>
            <w:r>
              <w:rPr/>
              <w:t>Signed</w:t>
            </w:r>
          </w:p>
        </w:tc>
      </w:tr>
      <w:tr>
        <w:trPr/>
        <w:tc>
          <w:tcPr>
            <w:tcW w:w="942" w:type="dxa"/>
            <w:tcBorders/>
            <w:shd w:fill="FFFFFF" w:val="clear"/>
            <w:tcMar>
              <w:bottom w:w="0" w:type="dxa"/>
            </w:tcMar>
            <w:vAlign w:val="center"/>
          </w:tcPr>
          <w:p>
            <w:pPr>
              <w:pStyle w:val="TableContents"/>
              <w:bidi w:val="0"/>
              <w:spacing w:before="0" w:after="283"/>
              <w:jc w:val="left"/>
              <w:rPr>
                <w:b/>
              </w:rPr>
            </w:pPr>
            <w:r>
              <w:rPr>
                <w:b/>
              </w:rPr>
              <w:t>A202</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63" w:type="dxa"/>
            <w:tcBorders/>
            <w:shd w:fill="FFFFFF" w:val="clear"/>
            <w:tcMar>
              <w:bottom w:w="0" w:type="dxa"/>
            </w:tcMar>
            <w:vAlign w:val="center"/>
          </w:tcPr>
          <w:p>
            <w:pPr>
              <w:pStyle w:val="TableContents"/>
              <w:bidi w:val="0"/>
              <w:spacing w:before="0" w:after="283"/>
              <w:jc w:val="center"/>
              <w:rPr/>
            </w:pPr>
            <w:r>
              <w:rPr/>
              <w:t>Malaysia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pPr>
            <w:r>
              <w:rPr/>
              <w:t>65.1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6" w:type="dxa"/>
            <w:tcBorders/>
            <w:shd w:fill="FFFFFF" w:val="clear"/>
            <w:tcMar>
              <w:bottom w:w="0" w:type="dxa"/>
            </w:tcMar>
            <w:vAlign w:val="center"/>
          </w:tcPr>
          <w:p>
            <w:pPr>
              <w:pStyle w:val="TableContents"/>
              <w:bidi w:val="0"/>
              <w:spacing w:before="0" w:after="283"/>
              <w:jc w:val="center"/>
              <w:rPr/>
            </w:pPr>
            <w:r>
              <w:rPr/>
              <w:t>GB300 and/or Vera Rubin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5" w:type="dxa"/>
            <w:tcBorders/>
            <w:shd w:fill="FFFFFF" w:val="clear"/>
            <w:tcMar>
              <w:bottom w:w="0" w:type="dxa"/>
            </w:tcMar>
            <w:vAlign w:val="center"/>
          </w:tcPr>
          <w:p>
            <w:pPr>
              <w:pStyle w:val="TableContents"/>
              <w:bidi w:val="0"/>
              <w:spacing w:before="0" w:after="283"/>
              <w:jc w:val="center"/>
              <w:rPr/>
            </w:pPr>
            <w:r>
              <w:rPr/>
              <w:t>Q3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8" w:type="dxa"/>
            <w:tcBorders/>
            <w:shd w:fill="FFFFFF" w:val="clear"/>
            <w:tcMar>
              <w:bottom w:w="0" w:type="dxa"/>
            </w:tcMar>
            <w:vAlign w:val="center"/>
          </w:tcPr>
          <w:p>
            <w:pPr>
              <w:pStyle w:val="TableContents"/>
              <w:bidi w:val="0"/>
              <w:spacing w:before="0" w:after="283"/>
              <w:jc w:val="center"/>
              <w:rPr/>
            </w:pPr>
            <w:r>
              <w:rPr/>
              <w:t>Signed</w:t>
            </w:r>
          </w:p>
        </w:tc>
      </w:tr>
      <w:tr>
        <w:trPr/>
        <w:tc>
          <w:tcPr>
            <w:tcW w:w="942" w:type="dxa"/>
            <w:tcBorders/>
            <w:shd w:fill="CCEEFF" w:val="clear"/>
            <w:tcMar>
              <w:bottom w:w="0" w:type="dxa"/>
            </w:tcMar>
            <w:vAlign w:val="center"/>
          </w:tcPr>
          <w:p>
            <w:pPr>
              <w:pStyle w:val="TableContents"/>
              <w:bidi w:val="0"/>
              <w:spacing w:before="0" w:after="283"/>
              <w:jc w:val="left"/>
              <w:rPr>
                <w:b/>
              </w:rPr>
            </w:pPr>
            <w:r>
              <w:rPr>
                <w:b/>
              </w:rPr>
              <w:t>A401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63" w:type="dxa"/>
            <w:tcBorders/>
            <w:shd w:fill="CCEEFF" w:val="clear"/>
            <w:tcMar>
              <w:bottom w:w="0" w:type="dxa"/>
            </w:tcMar>
            <w:vAlign w:val="center"/>
          </w:tcPr>
          <w:p>
            <w:pPr>
              <w:pStyle w:val="TableContents"/>
              <w:bidi w:val="0"/>
              <w:spacing w:before="0" w:after="283"/>
              <w:jc w:val="center"/>
              <w:rPr/>
            </w:pPr>
            <w:r>
              <w:rPr/>
              <w:t>Norway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center"/>
              <w:rPr/>
            </w:pPr>
            <w:r>
              <w:rPr/>
              <w:t>42.7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6" w:type="dxa"/>
            <w:tcBorders/>
            <w:shd w:fill="CCEEFF" w:val="clear"/>
            <w:tcMar>
              <w:bottom w:w="0" w:type="dxa"/>
            </w:tcMar>
            <w:vAlign w:val="center"/>
          </w:tcPr>
          <w:p>
            <w:pPr>
              <w:pStyle w:val="TableContents"/>
              <w:bidi w:val="0"/>
              <w:spacing w:before="0" w:after="283"/>
              <w:jc w:val="center"/>
              <w:rPr/>
            </w:pPr>
            <w:r>
              <w:rPr/>
              <w:t>Vera Rubin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5" w:type="dxa"/>
            <w:tcBorders/>
            <w:shd w:fill="CCEEFF" w:val="clear"/>
            <w:tcMar>
              <w:bottom w:w="0" w:type="dxa"/>
            </w:tcMar>
            <w:vAlign w:val="center"/>
          </w:tcPr>
          <w:p>
            <w:pPr>
              <w:pStyle w:val="TableContents"/>
              <w:bidi w:val="0"/>
              <w:spacing w:before="0" w:after="283"/>
              <w:jc w:val="center"/>
              <w:rPr/>
            </w:pPr>
            <w:r>
              <w:rPr/>
              <w:t>2H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center"/>
              <w:rPr/>
            </w:pPr>
            <w:r>
              <w:rPr/>
              <w:t>Self-Owned</w:t>
            </w:r>
          </w:p>
        </w:tc>
      </w:tr>
      <w:tr>
        <w:trPr/>
        <w:tc>
          <w:tcPr>
            <w:tcW w:w="942" w:type="dxa"/>
            <w:tcBorders/>
            <w:shd w:fill="FFFFFF" w:val="clear"/>
            <w:tcMar>
              <w:bottom w:w="0" w:type="dxa"/>
            </w:tcMar>
            <w:vAlign w:val="center"/>
          </w:tcPr>
          <w:p>
            <w:pPr>
              <w:pStyle w:val="TableContents"/>
              <w:bidi w:val="0"/>
              <w:spacing w:before="0" w:after="283"/>
              <w:jc w:val="left"/>
              <w:rPr>
                <w:b/>
              </w:rPr>
            </w:pPr>
            <w:r>
              <w:rPr>
                <w:b/>
              </w:rPr>
              <w:t>A501</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63" w:type="dxa"/>
            <w:tcBorders/>
            <w:shd w:fill="FFFFFF" w:val="clear"/>
            <w:tcMar>
              <w:bottom w:w="0" w:type="dxa"/>
            </w:tcMar>
            <w:vAlign w:val="center"/>
          </w:tcPr>
          <w:p>
            <w:pPr>
              <w:pStyle w:val="TableContents"/>
              <w:bidi w:val="0"/>
              <w:spacing w:before="0" w:after="283"/>
              <w:jc w:val="center"/>
              <w:rPr/>
            </w:pPr>
            <w:r>
              <w:rPr/>
              <w:t>WA, USA</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pPr>
            <w:r>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6" w:type="dxa"/>
            <w:tcBorders/>
            <w:shd w:fill="FFFFFF" w:val="clear"/>
            <w:tcMar>
              <w:bottom w:w="0" w:type="dxa"/>
            </w:tcMar>
            <w:vAlign w:val="center"/>
          </w:tcPr>
          <w:p>
            <w:pPr>
              <w:pStyle w:val="TableContents"/>
              <w:bidi w:val="0"/>
              <w:spacing w:before="0" w:after="283"/>
              <w:jc w:val="center"/>
              <w:rPr/>
            </w:pPr>
            <w:r>
              <w:rPr/>
              <w:t>Vera Rubin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5" w:type="dxa"/>
            <w:tcBorders/>
            <w:shd w:fill="FFFFFF" w:val="clear"/>
            <w:tcMar>
              <w:bottom w:w="0" w:type="dxa"/>
            </w:tcMar>
            <w:vAlign w:val="center"/>
          </w:tcPr>
          <w:p>
            <w:pPr>
              <w:pStyle w:val="TableContents"/>
              <w:bidi w:val="0"/>
              <w:spacing w:before="0" w:after="283"/>
              <w:jc w:val="center"/>
              <w:rPr/>
            </w:pPr>
            <w:r>
              <w:rPr/>
              <w:t>Dec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8" w:type="dxa"/>
            <w:tcBorders/>
            <w:shd w:fill="FFFFFF" w:val="clear"/>
            <w:tcMar>
              <w:bottom w:w="0" w:type="dxa"/>
            </w:tcMar>
            <w:vAlign w:val="center"/>
          </w:tcPr>
          <w:p>
            <w:pPr>
              <w:pStyle w:val="TableContents"/>
              <w:bidi w:val="0"/>
              <w:spacing w:before="0" w:after="283"/>
              <w:jc w:val="center"/>
              <w:rPr/>
            </w:pPr>
            <w:r>
              <w:rPr/>
              <w:t>Self-Owned</w:t>
            </w:r>
          </w:p>
        </w:tc>
      </w:tr>
      <w:tr>
        <w:trPr/>
        <w:tc>
          <w:tcPr>
            <w:tcW w:w="942" w:type="dxa"/>
            <w:tcBorders/>
            <w:shd w:fill="CCEEFF" w:val="clear"/>
            <w:tcMar>
              <w:bottom w:w="0" w:type="dxa"/>
            </w:tcMar>
            <w:vAlign w:val="center"/>
          </w:tcPr>
          <w:p>
            <w:pPr>
              <w:pStyle w:val="TableContents"/>
              <w:bidi w:val="0"/>
              <w:spacing w:before="0" w:after="283"/>
              <w:jc w:val="left"/>
              <w:rPr>
                <w:b/>
              </w:rPr>
            </w:pPr>
            <w:r>
              <w:rPr>
                <w:b/>
              </w:rPr>
              <w:t>A601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63" w:type="dxa"/>
            <w:tcBorders/>
            <w:shd w:fill="CCEEFF" w:val="clear"/>
            <w:tcMar>
              <w:bottom w:w="0" w:type="dxa"/>
            </w:tcMar>
            <w:vAlign w:val="center"/>
          </w:tcPr>
          <w:p>
            <w:pPr>
              <w:pStyle w:val="TableContents"/>
              <w:bidi w:val="0"/>
              <w:spacing w:before="0" w:after="283"/>
              <w:jc w:val="center"/>
              <w:rPr/>
            </w:pPr>
            <w:r>
              <w:rPr/>
              <w:t>TN, USA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0" w:type="dxa"/>
            <w:tcBorders/>
            <w:shd w:fill="CCEEFF" w:val="clear"/>
            <w:tcMar>
              <w:bottom w:w="0" w:type="dxa"/>
            </w:tcMar>
            <w:vAlign w:val="center"/>
          </w:tcPr>
          <w:p>
            <w:pPr>
              <w:pStyle w:val="TableContents"/>
              <w:bidi w:val="0"/>
              <w:spacing w:before="0" w:after="283"/>
              <w:jc w:val="center"/>
              <w:rPr/>
            </w:pPr>
            <w:r>
              <w:rPr/>
              <w:t>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6" w:type="dxa"/>
            <w:tcBorders/>
            <w:shd w:fill="CCEEFF" w:val="clear"/>
            <w:tcMar>
              <w:bottom w:w="0" w:type="dxa"/>
            </w:tcMar>
            <w:vAlign w:val="center"/>
          </w:tcPr>
          <w:p>
            <w:pPr>
              <w:pStyle w:val="TableContents"/>
              <w:bidi w:val="0"/>
              <w:spacing w:before="0" w:after="283"/>
              <w:jc w:val="center"/>
              <w:rPr/>
            </w:pPr>
            <w:r>
              <w:rPr/>
              <w:t>Vera Rubin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5" w:type="dxa"/>
            <w:tcBorders/>
            <w:shd w:fill="CCEEFF" w:val="clear"/>
            <w:tcMar>
              <w:bottom w:w="0" w:type="dxa"/>
            </w:tcMar>
            <w:vAlign w:val="center"/>
          </w:tcPr>
          <w:p>
            <w:pPr>
              <w:pStyle w:val="TableContents"/>
              <w:bidi w:val="0"/>
              <w:spacing w:before="0" w:after="283"/>
              <w:jc w:val="center"/>
              <w:rPr/>
            </w:pPr>
            <w:r>
              <w:rPr/>
              <w:t>Oct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1"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center"/>
              <w:rPr/>
            </w:pPr>
            <w:r>
              <w:rPr/>
              <w:t>Self-Owned</w:t>
            </w:r>
          </w:p>
        </w:tc>
      </w:tr>
      <w:tr>
        <w:trPr/>
        <w:tc>
          <w:tcPr>
            <w:tcW w:w="942"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63"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b/>
              </w:rPr>
            </w:pPr>
            <w:r>
              <w:rPr>
                <w:b/>
              </w:rPr>
              <w:t>206.5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8" w:type="dxa"/>
            <w:tcBorders/>
            <w:shd w:fill="FFFF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New AI Data Center site:</w:t>
            </w:r>
            <w:r>
              <w:rPr/>
              <w:t xml:space="preserve"> Bitdeer has signed a non-binding Letter of Intent to develop an AI data center in Bhutan’s Gelephu Mindfulness City, targeting an initial 30 MW of renewable hydro/solar-powered capacity with a potential expansion pathway to 500 MW.</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Full Contracting of A102 Facility (Malaysia)</w:t>
            </w:r>
            <w:r>
              <w:rPr/>
              <w:t>: Bitdeer AI secured 100% contracted GPU capacity for its 9.5 MW A102 facility in Malaysia ahead of energization through long-term commitments, representing more than $800 million in total expected revenue. As a general matter, Bitdeer AI seeks to structure its AI Cloud contracts so that customer prepayments are expected to cover approximately 50% of the associated capital expenditure. Revenue recognition is expected to begin in Q1 2027.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GPU Procurement for A201 Facility:</w:t>
            </w:r>
            <w:r>
              <w:rPr/>
              <w:t xml:space="preserve"> Bitdeer AI advanced hardware readiness for its A201 facility by procuring 133 racks of GB300 ahead of energization at market price from an unaffiliated third-party supplier, ensuring seamless post-energization deployment and rapid time-to-market. This procurement is subject to customary representations, warranties, covenants, indemnities and termination rights.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283"/>
        <w:jc w:val="left"/>
        <w:rPr/>
      </w:pPr>
      <w:r>
        <w:rPr/>
        <w:t> </w:t>
      </w:r>
    </w:p>
    <w:p>
      <w:pPr>
        <w:pStyle w:val="TextBody"/>
        <w:bidi w:val="0"/>
        <w:jc w:val="right"/>
        <w:rPr/>
      </w:pPr>
      <w:r>
        <w:rPr/>
        <w:drawing>
          <wp:inline distT="0" distB="0" distL="0" distR="0">
            <wp:extent cx="971550" cy="77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71550" cy="771525"/>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Capacity Expansion at A202 Facility (Malaysia):</w:t>
            </w:r>
            <w:r>
              <w:rPr/>
              <w:t xml:space="preserve"> Bitdeer AI executed a 10-year data center services agreement securing an additional 65.1 MW at its Johor campus, scaling total campus AI Cloud capacity to 86.8 MW to capture high-density compute demand.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Model Service Expansion:</w:t>
            </w:r>
            <w:r>
              <w:rPr/>
              <w:t xml:space="preserve"> The model service onboarded six open-source models in August, including Day-0 availability of NVIDIA Nemotron 3.5 Lightning. These additions reflect our continued investment in the token service, broadening our open-source model offerings while enhancing service stability.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Industry &amp; Community Engagement: </w:t>
            </w:r>
            <w:r>
              <w:rPr/>
              <w:t>Bitdeer AI expanded its industry reach by participating in Ai4 2026 in Las Vegas, speaking on a panel at SGTech, and hosting developer community events in Singapore to connect with key stakeholders across AI infrastructure, enterprise adoption, and emerging technologies.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Crypto Mining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CRYPTO Mining, R&amp;D, Manufacturing: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Mined 1,310 Bitcoins</w:t>
            </w:r>
            <w:r>
              <w:rPr>
                <w:rFonts w:ascii="Times New Roman;Times;Serif" w:hAnsi="Times New Roman;Times;Serif"/>
                <w:position w:val="8"/>
                <w:sz w:val="19"/>
              </w:rPr>
              <w:t>4</w:t>
            </w:r>
            <w:r>
              <w:rPr>
                <w:rFonts w:ascii="Times New Roman;Times;Serif" w:hAnsi="Times New Roman;Times;Serif"/>
              </w:rPr>
              <w:t>, an increase of 249% Y/Y; we continue to expect momentum in our mining results over the coming months.</w:t>
            </w:r>
          </w:p>
        </w:tc>
      </w:tr>
    </w:tbl>
    <w:p>
      <w:pPr>
        <w:pStyle w:val="TextBody"/>
        <w:bidi w:val="0"/>
        <w:spacing w:before="0" w:after="283"/>
        <w:jc w:val="left"/>
        <w:rPr/>
      </w:pPr>
      <w:r>
        <w:rPr/>
        <w:t> </w:t>
      </w:r>
    </w:p>
    <w:tbl>
      <w:tblPr>
        <w:tblW w:w="4263" w:type="dxa"/>
        <w:jc w:val="left"/>
        <w:tblInd w:w="0" w:type="dxa"/>
        <w:tblLayout w:type="fixed"/>
        <w:tblCellMar>
          <w:top w:w="0" w:type="dxa"/>
          <w:left w:w="0" w:type="dxa"/>
          <w:bottom w:w="0" w:type="dxa"/>
          <w:right w:w="0" w:type="dxa"/>
        </w:tblCellMar>
      </w:tblPr>
      <w:tblGrid>
        <w:gridCol w:w="38"/>
        <w:gridCol w:w="17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Self-mining hash rate reached ~79.9 EH/s.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Co-mining hashrate of 21.6 EH/s driven by Co-Mining collaboration, using Bitdeer’s mining rigs operated by 3</w:t>
            </w:r>
            <w:r>
              <w:rPr>
                <w:rFonts w:ascii="Times New Roman;Times;Serif" w:hAnsi="Times New Roman;Times;Serif"/>
                <w:position w:val="8"/>
                <w:sz w:val="19"/>
              </w:rPr>
              <w:t>rd</w:t>
            </w:r>
            <w:r>
              <w:rPr>
                <w:rFonts w:ascii="Times New Roman;Times;Serif" w:hAnsi="Times New Roman;Times;Serif"/>
              </w:rPr>
              <w:t xml:space="preserve"> party datacenters.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Crypto Metrics:</w:t>
      </w:r>
    </w:p>
    <w:p>
      <w:pPr>
        <w:pStyle w:val="TextBody"/>
        <w:bidi w:val="0"/>
        <w:spacing w:before="0" w:after="0"/>
        <w:ind w:left="0" w:right="0" w:hanging="0"/>
        <w:jc w:val="both"/>
        <w:rPr>
          <w:caps w:val="false"/>
          <w:smallCaps w:val="false"/>
        </w:rPr>
      </w:pPr>
      <w:r>
        <w:rPr>
          <w:caps w:val="false"/>
          <w:smallCaps w:val="false"/>
        </w:rPr>
        <w:t> </w:t>
      </w:r>
    </w:p>
    <w:tbl>
      <w:tblPr>
        <w:tblW w:w="8672" w:type="dxa"/>
        <w:jc w:val="left"/>
        <w:tblInd w:w="0" w:type="dxa"/>
        <w:tblLayout w:type="fixed"/>
        <w:tblCellMar>
          <w:top w:w="0" w:type="dxa"/>
          <w:left w:w="0" w:type="dxa"/>
          <w:bottom w:w="28" w:type="dxa"/>
          <w:right w:w="0" w:type="dxa"/>
        </w:tblCellMar>
      </w:tblPr>
      <w:tblGrid>
        <w:gridCol w:w="4715"/>
        <w:gridCol w:w="60"/>
        <w:gridCol w:w="125"/>
        <w:gridCol w:w="1169"/>
        <w:gridCol w:w="60"/>
        <w:gridCol w:w="60"/>
        <w:gridCol w:w="96"/>
        <w:gridCol w:w="898"/>
        <w:gridCol w:w="60"/>
        <w:gridCol w:w="60"/>
        <w:gridCol w:w="125"/>
        <w:gridCol w:w="1169"/>
        <w:gridCol w:w="75"/>
      </w:tblGrid>
      <w:tr>
        <w:trPr/>
        <w:tc>
          <w:tcPr>
            <w:tcW w:w="4715" w:type="dxa"/>
            <w:tcBorders>
              <w:bottom w:val="single" w:sz="12" w:space="0" w:color="000000"/>
            </w:tcBorders>
            <w:vAlign w:val="center"/>
          </w:tcPr>
          <w:p>
            <w:pPr>
              <w:pStyle w:val="TableContents"/>
              <w:bidi w:val="0"/>
              <w:spacing w:before="0" w:after="283"/>
              <w:jc w:val="both"/>
              <w:rPr>
                <w:b/>
              </w:rPr>
            </w:pPr>
            <w:r>
              <w:rPr>
                <w:b/>
              </w:rPr>
              <w:t>Metric</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12" w:space="0" w:color="000000"/>
            </w:tcBorders>
            <w:vAlign w:val="center"/>
          </w:tcPr>
          <w:p>
            <w:pPr>
              <w:pStyle w:val="TableContents"/>
              <w:bidi w:val="0"/>
              <w:spacing w:before="0" w:after="283"/>
              <w:jc w:val="center"/>
              <w:rPr>
                <w:b/>
              </w:rPr>
            </w:pPr>
            <w:r>
              <w:rPr>
                <w:b/>
              </w:rPr>
              <w:t>August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4" w:type="dxa"/>
            <w:gridSpan w:val="2"/>
            <w:tcBorders>
              <w:bottom w:val="single" w:sz="12" w:space="0" w:color="000000"/>
            </w:tcBorders>
            <w:vAlign w:val="center"/>
          </w:tcPr>
          <w:p>
            <w:pPr>
              <w:pStyle w:val="TableContents"/>
              <w:bidi w:val="0"/>
              <w:spacing w:before="0" w:after="283"/>
              <w:jc w:val="center"/>
              <w:rPr>
                <w:b/>
              </w:rPr>
            </w:pPr>
            <w:r>
              <w:rPr>
                <w:b/>
              </w:rPr>
              <w:t>July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12" w:space="0" w:color="000000"/>
            </w:tcBorders>
            <w:vAlign w:val="center"/>
          </w:tcPr>
          <w:p>
            <w:pPr>
              <w:pStyle w:val="TableContents"/>
              <w:bidi w:val="0"/>
              <w:spacing w:before="0" w:after="283"/>
              <w:jc w:val="center"/>
              <w:rPr>
                <w:b/>
              </w:rPr>
            </w:pPr>
            <w:r>
              <w:rPr>
                <w:b/>
              </w:rPr>
              <w:t>August 2025</w:t>
            </w:r>
          </w:p>
        </w:tc>
        <w:tc>
          <w:tcPr>
            <w:tcW w:w="75" w:type="dxa"/>
            <w:tcBorders/>
            <w:tcMar>
              <w:bottom w:w="0" w:type="dxa"/>
            </w:tcMar>
            <w:vAlign w:val="center"/>
          </w:tcPr>
          <w:p>
            <w:pPr>
              <w:pStyle w:val="TableContents"/>
              <w:bidi w:val="0"/>
              <w:spacing w:before="0" w:after="283"/>
              <w:jc w:val="left"/>
              <w:rPr/>
            </w:pPr>
            <w:r>
              <w:rPr/>
              <w:t> </w:t>
            </w:r>
          </w:p>
        </w:tc>
      </w:tr>
      <w:tr>
        <w:trPr/>
        <w:tc>
          <w:tcPr>
            <w:tcW w:w="8672" w:type="dxa"/>
            <w:gridSpan w:val="13"/>
            <w:tcBorders/>
            <w:tcMar>
              <w:bottom w:w="0" w:type="dxa"/>
            </w:tcMar>
            <w:vAlign w:val="center"/>
          </w:tcPr>
          <w:p>
            <w:pPr>
              <w:pStyle w:val="TableContents"/>
              <w:bidi w:val="0"/>
              <w:spacing w:before="0" w:after="283"/>
              <w:jc w:val="both"/>
              <w:rPr>
                <w:b/>
              </w:rPr>
            </w:pPr>
            <w:r>
              <w:rPr>
                <w:b/>
              </w:rPr>
              <w:t>Hash Rate Metrics:</w:t>
            </w:r>
          </w:p>
        </w:tc>
      </w:tr>
      <w:tr>
        <w:trPr/>
        <w:tc>
          <w:tcPr>
            <w:tcW w:w="4715" w:type="dxa"/>
            <w:tcBorders/>
            <w:shd w:fill="CCEEFF" w:val="clear"/>
            <w:tcMar>
              <w:bottom w:w="0" w:type="dxa"/>
            </w:tcMar>
            <w:vAlign w:val="center"/>
          </w:tcPr>
          <w:p>
            <w:pPr>
              <w:pStyle w:val="TableContents"/>
              <w:bidi w:val="0"/>
              <w:spacing w:before="0" w:after="283"/>
              <w:jc w:val="both"/>
              <w:rPr/>
            </w:pPr>
            <w:r>
              <w:rPr/>
              <w:t>Self-Mining (Operated in self-owned datacenters)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right"/>
              <w:rPr/>
            </w:pPr>
            <w:r>
              <w:rPr/>
              <w:t>79.9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76.7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right"/>
              <w:rPr/>
            </w:pPr>
            <w:r>
              <w:rPr/>
              <w:t>30.0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71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Proprietary Hash Rate</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1169" w:type="dxa"/>
            <w:tcBorders>
              <w:bottom w:val="single" w:sz="12" w:space="0" w:color="000000"/>
            </w:tcBorders>
            <w:shd w:fill="FFFFFF" w:val="clear"/>
            <w:vAlign w:val="center"/>
          </w:tcPr>
          <w:p>
            <w:pPr>
              <w:pStyle w:val="TableContents"/>
              <w:bidi w:val="0"/>
              <w:spacing w:before="0" w:after="283"/>
              <w:jc w:val="right"/>
              <w:rPr/>
            </w:pPr>
            <w:r>
              <w:rPr/>
              <w:t>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98" w:type="dxa"/>
            <w:tcBorders>
              <w:bottom w:val="single" w:sz="12" w:space="0" w:color="000000"/>
            </w:tcBorders>
            <w:shd w:fill="FFFFFF" w:val="clear"/>
            <w:vAlign w:val="center"/>
          </w:tcPr>
          <w:p>
            <w:pPr>
              <w:pStyle w:val="TableContents"/>
              <w:bidi w:val="0"/>
              <w:spacing w:before="0" w:after="283"/>
              <w:jc w:val="right"/>
              <w:rPr/>
            </w:pPr>
            <w:r>
              <w:rPr/>
              <w:t>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1169" w:type="dxa"/>
            <w:tcBorders>
              <w:bottom w:val="single" w:sz="12" w:space="0" w:color="000000"/>
            </w:tcBorders>
            <w:shd w:fill="FFFFFF" w:val="clear"/>
            <w:vAlign w:val="center"/>
          </w:tcPr>
          <w:p>
            <w:pPr>
              <w:pStyle w:val="TableContents"/>
              <w:bidi w:val="0"/>
              <w:spacing w:before="0" w:after="283"/>
              <w:jc w:val="right"/>
              <w:rPr/>
            </w:pPr>
            <w:r>
              <w:rPr/>
              <w:t>0.3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71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715"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Proprietary Hash Rate</w:t>
            </w:r>
            <w:r>
              <w:rPr>
                <w:rFonts w:ascii="Times New Roman;Times;Serif" w:hAnsi="Times New Roman;Times;Serif"/>
                <w:b/>
                <w:position w:val="7"/>
                <w:sz w:val="16"/>
                <w:sz w:val="20"/>
              </w:rPr>
              <w:t>6</w:t>
            </w:r>
            <w:r>
              <w:rPr>
                <w:rFonts w:ascii="Times New Roman;Times;Serif" w:hAnsi="Times New Roman;Times;Serif"/>
                <w:b/>
                <w:sz w:val="20"/>
              </w:rPr>
              <w:t xml:space="preserve"> (EH/s)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1169" w:type="dxa"/>
            <w:tcBorders>
              <w:bottom w:val="single" w:sz="12" w:space="0" w:color="000000"/>
            </w:tcBorders>
            <w:shd w:fill="FFFFFF" w:val="clear"/>
            <w:vAlign w:val="center"/>
          </w:tcPr>
          <w:p>
            <w:pPr>
              <w:pStyle w:val="TableContents"/>
              <w:bidi w:val="0"/>
              <w:spacing w:before="0" w:after="283"/>
              <w:jc w:val="right"/>
              <w:rPr>
                <w:b/>
              </w:rPr>
            </w:pPr>
            <w:r>
              <w:rPr>
                <w:b/>
              </w:rPr>
              <w:t>84.1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shd w:fill="FFFFFF" w:val="clear"/>
            <w:vAlign w:val="center"/>
          </w:tcPr>
          <w:p>
            <w:pPr>
              <w:pStyle w:val="TableContents"/>
              <w:bidi w:val="0"/>
              <w:spacing w:before="0" w:after="283"/>
              <w:jc w:val="left"/>
              <w:rPr/>
            </w:pPr>
            <w:r>
              <w:rPr/>
              <w:t> </w:t>
            </w:r>
          </w:p>
        </w:tc>
        <w:tc>
          <w:tcPr>
            <w:tcW w:w="898" w:type="dxa"/>
            <w:tcBorders>
              <w:bottom w:val="single" w:sz="12" w:space="0" w:color="000000"/>
            </w:tcBorders>
            <w:shd w:fill="FFFFFF" w:val="clear"/>
            <w:vAlign w:val="center"/>
          </w:tcPr>
          <w:p>
            <w:pPr>
              <w:pStyle w:val="TableContents"/>
              <w:bidi w:val="0"/>
              <w:spacing w:before="0" w:after="283"/>
              <w:jc w:val="right"/>
              <w:rPr>
                <w:b/>
              </w:rPr>
            </w:pPr>
            <w:r>
              <w:rPr>
                <w:b/>
              </w:rPr>
              <w:t>81.7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1169" w:type="dxa"/>
            <w:tcBorders>
              <w:bottom w:val="single" w:sz="12" w:space="0" w:color="000000"/>
            </w:tcBorders>
            <w:shd w:fill="FFFFFF" w:val="clear"/>
            <w:vAlign w:val="center"/>
          </w:tcPr>
          <w:p>
            <w:pPr>
              <w:pStyle w:val="TableContents"/>
              <w:bidi w:val="0"/>
              <w:spacing w:before="0" w:after="283"/>
              <w:jc w:val="right"/>
              <w:rPr>
                <w:b/>
              </w:rPr>
            </w:pPr>
            <w:r>
              <w:rPr>
                <w:b/>
              </w:rPr>
              <w:t>30.3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71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71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Co-Mining (Operated by 3</w:t>
            </w:r>
            <w:r>
              <w:rPr>
                <w:rFonts w:ascii="Times New Roman;Times;Serif" w:hAnsi="Times New Roman;Times;Serif"/>
                <w:position w:val="7"/>
                <w:sz w:val="16"/>
                <w:sz w:val="20"/>
              </w:rPr>
              <w:t>rd</w:t>
            </w:r>
            <w:r>
              <w:rPr>
                <w:rFonts w:ascii="Times New Roman;Times;Serif" w:hAnsi="Times New Roman;Times;Serif"/>
                <w:sz w:val="20"/>
              </w:rPr>
              <w:t xml:space="preserve"> party datacenters)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169" w:type="dxa"/>
            <w:tcBorders/>
            <w:shd w:fill="FFFFFF" w:val="clear"/>
            <w:tcMar>
              <w:bottom w:w="0" w:type="dxa"/>
            </w:tcMar>
            <w:vAlign w:val="center"/>
          </w:tcPr>
          <w:p>
            <w:pPr>
              <w:pStyle w:val="TableContents"/>
              <w:bidi w:val="0"/>
              <w:spacing w:before="0" w:after="283"/>
              <w:jc w:val="right"/>
              <w:rPr/>
            </w:pPr>
            <w:r>
              <w:rPr/>
              <w:t>21.6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18.7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169"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71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71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BTC Mined</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169" w:type="dxa"/>
            <w:tcBorders/>
            <w:shd w:fill="FFFFFF" w:val="clear"/>
            <w:tcMar>
              <w:bottom w:w="0" w:type="dxa"/>
            </w:tcMar>
            <w:vAlign w:val="center"/>
          </w:tcPr>
          <w:p>
            <w:pPr>
              <w:pStyle w:val="TableContents"/>
              <w:bidi w:val="0"/>
              <w:spacing w:before="0" w:after="283"/>
              <w:jc w:val="right"/>
              <w:rPr/>
            </w:pPr>
            <w:r>
              <w:rPr/>
              <w:t>1,310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898" w:type="dxa"/>
            <w:tcBorders/>
            <w:shd w:fill="FFFFFF" w:val="clear"/>
            <w:tcMar>
              <w:bottom w:w="0" w:type="dxa"/>
            </w:tcMar>
            <w:vAlign w:val="center"/>
          </w:tcPr>
          <w:p>
            <w:pPr>
              <w:pStyle w:val="TableContents"/>
              <w:bidi w:val="0"/>
              <w:spacing w:before="0" w:after="283"/>
              <w:jc w:val="right"/>
              <w:rPr/>
            </w:pPr>
            <w:r>
              <w:rPr/>
              <w:t>1,190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169" w:type="dxa"/>
            <w:tcBorders/>
            <w:shd w:fill="FFFFFF" w:val="clear"/>
            <w:tcMar>
              <w:bottom w:w="0" w:type="dxa"/>
            </w:tcMar>
            <w:vAlign w:val="center"/>
          </w:tcPr>
          <w:p>
            <w:pPr>
              <w:pStyle w:val="TableContents"/>
              <w:bidi w:val="0"/>
              <w:spacing w:before="0" w:after="283"/>
              <w:jc w:val="right"/>
              <w:rPr/>
            </w:pPr>
            <w:r>
              <w:rPr/>
              <w:t>375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71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BTC Held</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right"/>
              <w:rPr/>
            </w:pPr>
            <w:r>
              <w:rPr/>
              <w:t>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898" w:type="dxa"/>
            <w:tcBorders/>
            <w:shd w:fill="CCEEFF" w:val="clear"/>
            <w:tcMar>
              <w:bottom w:w="0" w:type="dxa"/>
            </w:tcMar>
            <w:vAlign w:val="center"/>
          </w:tcPr>
          <w:p>
            <w:pPr>
              <w:pStyle w:val="TableContents"/>
              <w:bidi w:val="0"/>
              <w:spacing w:before="0" w:after="283"/>
              <w:jc w:val="right"/>
              <w:rPr/>
            </w:pPr>
            <w:r>
              <w:rPr/>
              <w:t>257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69" w:type="dxa"/>
            <w:tcBorders/>
            <w:shd w:fill="CCEEFF" w:val="clear"/>
            <w:tcMar>
              <w:bottom w:w="0" w:type="dxa"/>
            </w:tcMar>
            <w:vAlign w:val="center"/>
          </w:tcPr>
          <w:p>
            <w:pPr>
              <w:pStyle w:val="TableContents"/>
              <w:bidi w:val="0"/>
              <w:spacing w:before="0" w:after="283"/>
              <w:jc w:val="right"/>
              <w:rPr/>
            </w:pPr>
            <w:r>
              <w:rPr/>
              <w:t>1,934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Infrastructure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Bitdeer will transition its infrastructure updates from a monthly reporting cadence to quarterly disclosures issued concurrently with its financial earnings releases, providing a more meaningful and integrated perspective on the Company’s development progress. The Company’s most recent infrastructure update was disclosed alongside its Q2 2026 financial results on August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Footnotes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0065" w:type="dxa"/>
            <w:tcBorders/>
            <w:vAlign w:val="center"/>
          </w:tcPr>
          <w:p>
            <w:pPr>
              <w:pStyle w:val="TableContents"/>
              <w:bidi w:val="0"/>
              <w:spacing w:before="0" w:after="283"/>
              <w:jc w:val="both"/>
              <w:rPr/>
            </w:pPr>
            <w:r>
              <w:rPr>
                <w:b/>
              </w:rPr>
              <w:t>ARR</w:t>
            </w:r>
            <w:r>
              <w:rPr/>
              <w:t xml:space="preserve"> as of the last day of the respective month is calculated by multiplying the daily revenue generated from all contractually obligated GPU orders on that specific day by 365. This metric provides an annualized view of the revenue run-rate based on active contracts at the end of the reporting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2</w:t>
            </w:r>
          </w:p>
        </w:tc>
        <w:tc>
          <w:tcPr>
            <w:tcW w:w="10065" w:type="dxa"/>
            <w:tcBorders/>
            <w:vAlign w:val="center"/>
          </w:tcPr>
          <w:p>
            <w:pPr>
              <w:pStyle w:val="TableContents"/>
              <w:bidi w:val="0"/>
              <w:spacing w:before="0" w:after="283"/>
              <w:jc w:val="both"/>
              <w:rPr/>
            </w:pPr>
            <w:r>
              <w:rPr>
                <w:b/>
              </w:rPr>
              <w:t xml:space="preserve">Self-Mining (Operated in self-owned datacenters) </w:t>
            </w:r>
            <w:r>
              <w:rPr/>
              <w:t>refers to cryptocurrency mining for Bitdeer’s own account, whereby its mining rigs are operated in self-owned datacenters.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3</w:t>
            </w:r>
          </w:p>
        </w:tc>
        <w:tc>
          <w:tcPr>
            <w:tcW w:w="10065" w:type="dxa"/>
            <w:tcBorders/>
            <w:vAlign w:val="center"/>
          </w:tcPr>
          <w:p>
            <w:pPr>
              <w:pStyle w:val="TableContents"/>
              <w:bidi w:val="0"/>
              <w:spacing w:before="0" w:after="283"/>
              <w:jc w:val="both"/>
              <w:rPr/>
            </w:pPr>
            <w:r>
              <w:rPr>
                <w:b/>
              </w:rPr>
              <w:t>Co-mining (Operated by 3</w:t>
            </w:r>
            <w:r>
              <w:rPr>
                <w:b/>
                <w:position w:val="8"/>
                <w:sz w:val="19"/>
              </w:rPr>
              <w:t>rd</w:t>
            </w:r>
            <w:r>
              <w:rPr>
                <w:b/>
              </w:rPr>
              <w:t xml:space="preserve"> party datacenters) </w:t>
            </w:r>
            <w:r>
              <w:rPr/>
              <w:t>refers to cryptocurrency mining for Bitdeer’s own account, whereby its mining rigs are operated by third-party datacenters.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971550" cy="771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71550" cy="7715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140"/>
        <w:gridCol w:w="7610"/>
      </w:tblGrid>
      <w:tr>
        <w:trPr/>
        <w:tc>
          <w:tcPr>
            <w:tcW w:w="140" w:type="dxa"/>
            <w:tcBorders/>
            <w:vAlign w:val="center"/>
          </w:tcPr>
          <w:p>
            <w:pPr>
              <w:pStyle w:val="TableContents"/>
              <w:bidi w:val="0"/>
              <w:spacing w:before="0" w:after="283"/>
              <w:jc w:val="left"/>
              <w:rPr>
                <w:position w:val="8"/>
                <w:sz w:val="19"/>
              </w:rPr>
            </w:pPr>
            <w:r>
              <w:rPr>
                <w:position w:val="8"/>
                <w:sz w:val="19"/>
              </w:rPr>
              <w:t>4</w:t>
            </w:r>
          </w:p>
        </w:tc>
        <w:tc>
          <w:tcPr>
            <w:tcW w:w="7610" w:type="dxa"/>
            <w:tcBorders/>
            <w:vAlign w:val="center"/>
          </w:tcPr>
          <w:p>
            <w:pPr>
              <w:pStyle w:val="TableContents"/>
              <w:bidi w:val="0"/>
              <w:spacing w:before="0" w:after="283"/>
              <w:jc w:val="both"/>
              <w:rPr/>
            </w:pPr>
            <w:r>
              <w:rPr/>
              <w:t>Includes BTC from self-mining operations and BTC from co-mining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5</w:t>
            </w:r>
          </w:p>
        </w:tc>
        <w:tc>
          <w:tcPr>
            <w:tcW w:w="10065" w:type="dxa"/>
            <w:tcBorders/>
            <w:vAlign w:val="center"/>
          </w:tcPr>
          <w:p>
            <w:pPr>
              <w:pStyle w:val="TableContents"/>
              <w:bidi w:val="0"/>
              <w:spacing w:before="0" w:after="283"/>
              <w:jc w:val="both"/>
              <w:rPr/>
            </w:pPr>
            <w:r>
              <w:rPr>
                <w:b/>
              </w:rPr>
              <w:t xml:space="preserve">Other Proprietary Hash Rate </w:t>
            </w:r>
            <w:r>
              <w:rPr/>
              <w:t>includes the hashrate from Bitdeer’s cloud hashrate business, mining rigs delivered in the crypto mining datacenters but not deployed and the mining rigs temporarily offline due to limited economic benefit.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6</w:t>
            </w:r>
          </w:p>
        </w:tc>
        <w:tc>
          <w:tcPr>
            <w:tcW w:w="10065" w:type="dxa"/>
            <w:tcBorders/>
            <w:vAlign w:val="center"/>
          </w:tcPr>
          <w:p>
            <w:pPr>
              <w:pStyle w:val="TableContents"/>
              <w:bidi w:val="0"/>
              <w:spacing w:before="0" w:after="283"/>
              <w:jc w:val="both"/>
              <w:rPr/>
            </w:pPr>
            <w:r>
              <w:rPr>
                <w:b/>
              </w:rPr>
              <w:t xml:space="preserve">Total Proprietary Hash Rate </w:t>
            </w:r>
            <w:r>
              <w:rPr/>
              <w:t>as of August 31, 2026 includes Self-Mining Hash Rate and Other Proprietary Hash Rate.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7</w:t>
            </w:r>
          </w:p>
        </w:tc>
        <w:tc>
          <w:tcPr>
            <w:tcW w:w="10065" w:type="dxa"/>
            <w:tcBorders/>
            <w:vAlign w:val="center"/>
          </w:tcPr>
          <w:p>
            <w:pPr>
              <w:pStyle w:val="TableContents"/>
              <w:bidi w:val="0"/>
              <w:spacing w:before="0" w:after="283"/>
              <w:jc w:val="both"/>
              <w:rPr/>
            </w:pPr>
            <w:r>
              <w:rPr>
                <w:b/>
              </w:rPr>
              <w:t xml:space="preserve">Bitcoins held </w:t>
            </w:r>
            <w:r>
              <w:rPr/>
              <w:t>does not include Bitcoins from customer deposits but does include Bitcoins that are pledged as collateral by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8</w:t>
            </w:r>
          </w:p>
        </w:tc>
        <w:tc>
          <w:tcPr>
            <w:tcW w:w="10065" w:type="dxa"/>
            <w:tcBorders/>
            <w:vAlign w:val="center"/>
          </w:tcPr>
          <w:p>
            <w:pPr>
              <w:pStyle w:val="TableContents"/>
              <w:bidi w:val="0"/>
              <w:spacing w:before="0" w:after="283"/>
              <w:jc w:val="both"/>
              <w:rPr/>
            </w:pPr>
            <w:r>
              <w:rPr>
                <w:b/>
              </w:rPr>
              <w:t xml:space="preserve">Utilization Rate </w:t>
            </w:r>
            <w:r>
              <w:rPr/>
              <w:t>as of the last day of the respective month is calculated as the total number of GPUs under internal and external orders divided by the total number of deployed GPUs.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Bitdeer Technologies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is a world-leading technology company for AI and Bitcoin mining infrastructure. Bitdeer is committed to providing comprehensive Bitcoin mining solutions for its customers and building AI computational infrastructure to support the AI revolution. Bitdeer handles complex processes involved in computing such as equipment procurement, transport logistics, data center design and construction, equipment management, and daily operations. Bitdeer also offers advanced cloud capabilities to customers with high demand for artificial intelligence. Headquartered in Singapore, Bitdeer has deployed data centers across multiple countries, including the United States, Norway, Bhutan, Ethiopia, and Malaysia. To learn more, visit https://ir.bitdeer.com/ or follow Bitdeer on X@Bitdeer and LinkedIn @Bitdeer.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social media and other communication channels listed on its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Forward-looking statements in this press release include, among others, statements regarding: the expected DC RFS dates and the expected IT capacity of each data center identified above, and the aggregate AI Cloud capacity figures presented in this press release, including total campus capacity; the GPU platforms expected to be deployed at each facility and the availability and timing of delivery of that equipment; the expected commencement of revenue recognition in the first quarter of 2027 and the total expected revenue of more than $800 million under the A102 contracts; the manner in which Bitdeer AI seeks to structure its AI Cloud contracts, including expected customer prepayment coverage; the total contract value of the Tydal lease over the initial 16-year base term and the potential total contract value of approximately $8.0 billion if the tenant exercises its one-time 8-year extension option; the expected performance and characteristics of the Tydal data center, including its expected PUE and use of renewable energy; the initial 30 MW of capacity and the potential 500 MW expansion pathway contemplated by the non-binding letter of intent in Bhutan; the Company’s expectations regarding additional power allocations at its Rockdale site; the expected deployment of GPU hardware at the A201 facility; the outcome of ongoing contract negotiations, including in respect of the A201 facility; and the expectation of continued momentum in the Company’s mining results.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Tesh Dahya, Head of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tesh.dahya@bitdeer.com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Elev8 New 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Jessica Starman, MBA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bitdeer@elev8newmedia.com</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2031</Words>
  <Characters>11740</Characters>
  <CharactersWithSpaces>13865</CharactersWithSpaces>
  <Paragraphs>546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