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679-6k_bitdeer.htm"/>
      <w:bookmarkStart w:id="1" w:name="ksea03076796k_bitdeer"/>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UNDER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jc w:val="center"/>
        <w:rPr>
          <w:caps w:val="false"/>
          <w:smallCaps w:val="false"/>
        </w:rPr>
      </w:pPr>
      <w:r>
        <w:rPr>
          <w:caps w:val="false"/>
          <w:smallCaps w:val="false"/>
        </w:rPr>
        <w:t> </w:t>
      </w:r>
    </w:p>
    <w:tbl>
      <w:tblPr>
        <w:tblW w:w="9610" w:type="dxa"/>
        <w:jc w:val="left"/>
        <w:tblInd w:w="0" w:type="dxa"/>
        <w:tblLayout w:type="fixed"/>
        <w:tblCellMar>
          <w:top w:w="0" w:type="dxa"/>
          <w:left w:w="0" w:type="dxa"/>
          <w:bottom w:w="28" w:type="dxa"/>
          <w:right w:w="0" w:type="dxa"/>
        </w:tblCellMar>
      </w:tblPr>
      <w:tblGrid>
        <w:gridCol w:w="1205"/>
        <w:gridCol w:w="60"/>
        <w:gridCol w:w="834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34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5" w:type="dxa"/>
            <w:tcBorders/>
            <w:shd w:fill="CCEEFF" w:val="clear"/>
            <w:tcMar>
              <w:bottom w:w="0" w:type="dxa"/>
            </w:tcMar>
            <w:vAlign w:val="center"/>
          </w:tcPr>
          <w:p>
            <w:pPr>
              <w:pStyle w:val="TableContents"/>
              <w:bidi w:val="0"/>
              <w:spacing w:before="0" w:after="283"/>
              <w:jc w:val="left"/>
              <w:rPr/>
            </w:pPr>
            <w:hyperlink w:anchor="ea030767901ex99-1.htm">
              <w:r>
                <w:rPr>
                  <w:rStyle w:val="InternetLink"/>
                </w:rPr>
                <w:t>Press Release – Bitdeer Announces September 2026 Production and Operations Update</w:t>
              </w:r>
            </w:hyperlink>
          </w:p>
        </w:tc>
      </w:tr>
    </w:tbl>
    <w:p>
      <w:pPr>
        <w:pStyle w:val="TextBody"/>
        <w:bidi w:val="0"/>
        <w:spacing w:before="0" w:after="283"/>
        <w:jc w:val="left"/>
        <w:rPr/>
      </w:pPr>
      <w:r>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50" w:type="dxa"/>
            <w:gridSpan w:val="2"/>
            <w:tcBorders/>
            <w:vAlign w:val="center"/>
          </w:tcPr>
          <w:p>
            <w:pPr>
              <w:pStyle w:val="TableContents"/>
              <w:bidi w:val="0"/>
              <w:spacing w:before="0" w:after="283"/>
              <w:jc w:val="both"/>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jc w:val="left"/>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ea030767901ex99-1.htm"/>
      <w:bookmarkStart w:id="3" w:name="ksea030767901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drawing>
          <wp:inline distT="0" distB="0" distL="0" distR="0">
            <wp:extent cx="10477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Announces September 2026 Production and Operations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Monthly Highlights</w:t>
      </w:r>
    </w:p>
    <w:p>
      <w:pPr>
        <w:pStyle w:val="TextBody"/>
        <w:bidi w:val="0"/>
        <w:spacing w:before="0" w:after="0"/>
        <w:ind w:left="72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170"/>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Cloud: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Capacity Expansion in Malaysia: </w:t>
            </w:r>
            <w:r>
              <w:rPr>
                <w:rFonts w:ascii="Times New Roman;Times;Serif" w:hAnsi="Times New Roman;Times;Serif"/>
                <w:b w:val="false"/>
                <w:i w:val="false"/>
                <w:caps w:val="false"/>
                <w:smallCaps w:val="false"/>
                <w:sz w:val="20"/>
              </w:rPr>
              <w:t>Bitdeer AI recently announced data services agreements securing 67MW of capacity at A901 data center with full delivery planned for Q2 2027 and an additional 60MW of capacity at A103 data center with delivery planned for Q1 2028.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Contracting of A201 Facility in Malaysia: </w:t>
            </w:r>
            <w:r>
              <w:rPr>
                <w:rFonts w:ascii="Times New Roman;Times;Serif" w:hAnsi="Times New Roman;Times;Serif"/>
                <w:b w:val="false"/>
                <w:i w:val="false"/>
                <w:caps w:val="false"/>
                <w:smallCaps w:val="false"/>
                <w:sz w:val="20"/>
              </w:rPr>
              <w:t>Bitdeer AI announced offtake commitments covering more than 70% of our ~21.7MW A201 data center in Johor Bahru, generating &gt;$1.7 billion in expected revenue over 5 years and boosting total AI Cloud revenue backlog to ~$2.9 billion.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Colocation:</w:t>
            </w:r>
            <w:r>
              <w:rPr>
                <w:rFonts w:ascii="Times New Roman;Times;Serif" w:hAnsi="Times New Roman;Times;Serif"/>
                <w:b w:val="false"/>
                <w:i w:val="false"/>
                <w:caps w:val="false"/>
                <w:smallCaps w:val="false"/>
                <w:sz w:val="20"/>
              </w:rPr>
              <w:t xml:space="preserve"> Bitdeer recently acquired 200 acres near existing 563 MW Rockdale facility to support AI/HPC infrastructure development.</w:t>
            </w:r>
          </w:p>
        </w:tc>
      </w:tr>
    </w:tbl>
    <w:p>
      <w:pPr>
        <w:pStyle w:val="TextBody"/>
        <w:bidi w:val="0"/>
        <w:spacing w:before="0" w:after="283"/>
        <w:jc w:val="left"/>
        <w:rPr/>
      </w:pPr>
      <w:r>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Bitcoin:</w:t>
            </w:r>
            <w:r>
              <w:rPr>
                <w:rFonts w:ascii="Times New Roman;Times;Serif" w:hAnsi="Times New Roman;Times;Serif"/>
                <w:b w:val="false"/>
                <w:i w:val="false"/>
                <w:caps w:val="false"/>
                <w:smallCaps w:val="false"/>
                <w:sz w:val="20"/>
              </w:rPr>
              <w:t xml:space="preserve"> Production increased 200% Y/Y to 1,355 Bitcoins.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2"/>
        <w:gridCol w:w="60"/>
        <w:gridCol w:w="948"/>
        <w:gridCol w:w="60"/>
        <w:gridCol w:w="759"/>
        <w:gridCol w:w="60"/>
        <w:gridCol w:w="3469"/>
        <w:gridCol w:w="60"/>
        <w:gridCol w:w="1592"/>
        <w:gridCol w:w="60"/>
        <w:gridCol w:w="1056"/>
        <w:gridCol w:w="60"/>
        <w:gridCol w:w="1029"/>
      </w:tblGrid>
      <w:tr>
        <w:trPr/>
        <w:tc>
          <w:tcPr>
            <w:tcW w:w="9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53" w:type="dxa"/>
            <w:gridSpan w:val="11"/>
            <w:tcBorders/>
            <w:vAlign w:val="center"/>
          </w:tcPr>
          <w:p>
            <w:pPr>
              <w:pStyle w:val="TableContents"/>
              <w:bidi w:val="0"/>
              <w:spacing w:before="0" w:after="283"/>
              <w:jc w:val="center"/>
              <w:rPr>
                <w:b/>
              </w:rPr>
            </w:pPr>
            <w:r>
              <w:rPr>
                <w:b/>
              </w:rPr>
              <w:t>Key Metrics Summary</w:t>
            </w:r>
          </w:p>
        </w:tc>
      </w:tr>
      <w:tr>
        <w:trPr/>
        <w:tc>
          <w:tcPr>
            <w:tcW w:w="992"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AI Cloud </w:t>
              <w:br/>
              <w:t>Pipeline</w:t>
              <w:br/>
              <w:t>(IT MW)</w:t>
            </w:r>
          </w:p>
        </w:tc>
        <w:tc>
          <w:tcPr>
            <w:tcW w:w="60" w:type="dxa"/>
            <w:tcBorders/>
            <w:vAlign w:val="center"/>
          </w:tcPr>
          <w:p>
            <w:pPr>
              <w:pStyle w:val="TableContents"/>
              <w:bidi w:val="0"/>
              <w:spacing w:before="0" w:after="283"/>
              <w:jc w:val="left"/>
              <w:rPr/>
            </w:pPr>
            <w:r>
              <w:rPr/>
              <w:t> </w:t>
            </w:r>
          </w:p>
        </w:tc>
        <w:tc>
          <w:tcPr>
            <w:tcW w:w="948" w:type="dxa"/>
            <w:tcBorders>
              <w:bottom w:val="single" w:sz="12" w:space="0" w:color="000000"/>
            </w:tcBorders>
            <w:tcMar>
              <w:bottom w:w="28" w:type="dxa"/>
            </w:tcMar>
            <w:vAlign w:val="center"/>
          </w:tcPr>
          <w:p>
            <w:pPr>
              <w:pStyle w:val="TableContents"/>
              <w:bidi w:val="0"/>
              <w:spacing w:before="0" w:after="283"/>
              <w:jc w:val="center"/>
              <w:rPr>
                <w:b/>
              </w:rPr>
            </w:pPr>
            <w:r>
              <w:rPr>
                <w:b/>
              </w:rPr>
              <w:t>AI Cloud</w:t>
              <w:br/>
              <w:t>Revenue</w:t>
              <w:br/>
              <w:t>Backlog</w:t>
            </w:r>
          </w:p>
        </w:tc>
        <w:tc>
          <w:tcPr>
            <w:tcW w:w="60" w:type="dxa"/>
            <w:tcBorders/>
            <w:vAlign w:val="center"/>
          </w:tcPr>
          <w:p>
            <w:pPr>
              <w:pStyle w:val="TableContents"/>
              <w:bidi w:val="0"/>
              <w:spacing w:before="0" w:after="283"/>
              <w:jc w:val="left"/>
              <w:rPr/>
            </w:pPr>
            <w:r>
              <w:rPr/>
              <w:t> </w:t>
            </w:r>
          </w:p>
        </w:tc>
        <w:tc>
          <w:tcPr>
            <w:tcW w:w="75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AI Cloud</w:t>
              <w:br/>
              <w:t>ARR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3469" w:type="dxa"/>
            <w:tcBorders>
              <w:bottom w:val="single" w:sz="12" w:space="0" w:color="000000"/>
            </w:tcBorders>
            <w:tcMar>
              <w:bottom w:w="28" w:type="dxa"/>
            </w:tcMar>
            <w:vAlign w:val="center"/>
          </w:tcPr>
          <w:p>
            <w:pPr>
              <w:pStyle w:val="TableContents"/>
              <w:bidi w:val="0"/>
              <w:spacing w:before="0" w:after="283"/>
              <w:jc w:val="center"/>
              <w:rPr>
                <w:b/>
              </w:rPr>
            </w:pPr>
            <w:r>
              <w:rPr>
                <w:b/>
              </w:rPr>
              <w:t>Colocation AI Data Center</w:t>
            </w:r>
          </w:p>
        </w:tc>
        <w:tc>
          <w:tcPr>
            <w:tcW w:w="60" w:type="dxa"/>
            <w:tcBorders/>
            <w:vAlign w:val="center"/>
          </w:tcPr>
          <w:p>
            <w:pPr>
              <w:pStyle w:val="TableContents"/>
              <w:bidi w:val="0"/>
              <w:spacing w:before="0" w:after="283"/>
              <w:jc w:val="left"/>
              <w:rPr/>
            </w:pPr>
            <w:r>
              <w:rPr/>
              <w:t> </w:t>
            </w:r>
          </w:p>
        </w:tc>
        <w:tc>
          <w:tcPr>
            <w:tcW w:w="159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Self-Mining Hash Rate</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105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Co-Mining</w:t>
              <w:br/>
              <w:t>Hash Rate</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1029" w:type="dxa"/>
            <w:tcBorders>
              <w:bottom w:val="single" w:sz="12" w:space="0" w:color="000000"/>
            </w:tcBorders>
            <w:tcMar>
              <w:bottom w:w="28" w:type="dxa"/>
            </w:tcMar>
            <w:vAlign w:val="center"/>
          </w:tcPr>
          <w:p>
            <w:pPr>
              <w:pStyle w:val="TableContents"/>
              <w:bidi w:val="0"/>
              <w:spacing w:before="0" w:after="283"/>
              <w:jc w:val="center"/>
              <w:rPr>
                <w:b/>
              </w:rPr>
            </w:pPr>
            <w:r>
              <w:rPr>
                <w:b/>
              </w:rPr>
              <w:t>BTC Mined</w:t>
            </w:r>
          </w:p>
        </w:tc>
      </w:tr>
      <w:tr>
        <w:trPr/>
        <w:tc>
          <w:tcPr>
            <w:tcW w:w="992" w:type="dxa"/>
            <w:tcBorders/>
            <w:shd w:fill="CCEEFF" w:val="clear"/>
            <w:vAlign w:val="center"/>
          </w:tcPr>
          <w:p>
            <w:pPr>
              <w:pStyle w:val="TableContents"/>
              <w:bidi w:val="0"/>
              <w:spacing w:before="0" w:after="283"/>
              <w:jc w:val="center"/>
              <w:rPr>
                <w:b/>
              </w:rPr>
            </w:pPr>
            <w:r>
              <w:rPr>
                <w:b/>
              </w:rPr>
              <w:t>333.5 MW</w:t>
            </w:r>
          </w:p>
        </w:tc>
        <w:tc>
          <w:tcPr>
            <w:tcW w:w="60" w:type="dxa"/>
            <w:tcBorders/>
            <w:shd w:fill="CCEEFF" w:val="clear"/>
            <w:vAlign w:val="center"/>
          </w:tcPr>
          <w:p>
            <w:pPr>
              <w:pStyle w:val="TableContents"/>
              <w:bidi w:val="0"/>
              <w:spacing w:before="0" w:after="283"/>
              <w:jc w:val="center"/>
              <w:rPr/>
            </w:pPr>
            <w:r>
              <w:rPr/>
              <w:t> </w:t>
            </w:r>
          </w:p>
        </w:tc>
        <w:tc>
          <w:tcPr>
            <w:tcW w:w="948" w:type="dxa"/>
            <w:tcBorders/>
            <w:shd w:fill="CCEEFF" w:val="clear"/>
            <w:vAlign w:val="center"/>
          </w:tcPr>
          <w:p>
            <w:pPr>
              <w:pStyle w:val="TableContents"/>
              <w:bidi w:val="0"/>
              <w:spacing w:before="0" w:after="283"/>
              <w:jc w:val="center"/>
              <w:rPr>
                <w:b/>
              </w:rPr>
            </w:pPr>
            <w:r>
              <w:rPr>
                <w:b/>
              </w:rPr>
              <w:t>~$2.9B</w:t>
            </w:r>
          </w:p>
        </w:tc>
        <w:tc>
          <w:tcPr>
            <w:tcW w:w="60" w:type="dxa"/>
            <w:tcBorders/>
            <w:shd w:fill="CCEEFF" w:val="clear"/>
            <w:vAlign w:val="center"/>
          </w:tcPr>
          <w:p>
            <w:pPr>
              <w:pStyle w:val="TableContents"/>
              <w:bidi w:val="0"/>
              <w:spacing w:before="0" w:after="283"/>
              <w:jc w:val="center"/>
              <w:rPr/>
            </w:pPr>
            <w:r>
              <w:rPr/>
              <w:t> </w:t>
            </w:r>
          </w:p>
        </w:tc>
        <w:tc>
          <w:tcPr>
            <w:tcW w:w="759" w:type="dxa"/>
            <w:tcBorders/>
            <w:shd w:fill="CCEEFF" w:val="clear"/>
            <w:vAlign w:val="center"/>
          </w:tcPr>
          <w:p>
            <w:pPr>
              <w:pStyle w:val="TableContents"/>
              <w:bidi w:val="0"/>
              <w:spacing w:before="0" w:after="283"/>
              <w:jc w:val="center"/>
              <w:rPr>
                <w:b/>
              </w:rPr>
            </w:pPr>
            <w:r>
              <w:rPr>
                <w:b/>
              </w:rPr>
              <w:t>~$86M</w:t>
            </w:r>
          </w:p>
        </w:tc>
        <w:tc>
          <w:tcPr>
            <w:tcW w:w="60" w:type="dxa"/>
            <w:tcBorders/>
            <w:shd w:fill="CCEEFF" w:val="clear"/>
            <w:vAlign w:val="center"/>
          </w:tcPr>
          <w:p>
            <w:pPr>
              <w:pStyle w:val="TableContents"/>
              <w:bidi w:val="0"/>
              <w:spacing w:before="0" w:after="283"/>
              <w:jc w:val="center"/>
              <w:rPr/>
            </w:pPr>
            <w:r>
              <w:rPr/>
              <w:t> </w:t>
            </w:r>
          </w:p>
        </w:tc>
        <w:tc>
          <w:tcPr>
            <w:tcW w:w="3469" w:type="dxa"/>
            <w:tcBorders/>
            <w:shd w:fill="CCEEFF" w:val="clear"/>
            <w:vAlign w:val="center"/>
          </w:tcPr>
          <w:p>
            <w:pPr>
              <w:pStyle w:val="TableContents"/>
              <w:bidi w:val="0"/>
              <w:spacing w:before="0" w:after="283"/>
              <w:jc w:val="center"/>
              <w:rPr>
                <w:b/>
              </w:rPr>
            </w:pPr>
            <w:r>
              <w:rPr>
                <w:b/>
              </w:rPr>
              <w:t>$4.7B, 16-Year Lease with Volta at Tydal, Norway</w:t>
            </w:r>
          </w:p>
        </w:tc>
        <w:tc>
          <w:tcPr>
            <w:tcW w:w="60" w:type="dxa"/>
            <w:tcBorders/>
            <w:shd w:fill="CCEEFF" w:val="clear"/>
            <w:vAlign w:val="center"/>
          </w:tcPr>
          <w:p>
            <w:pPr>
              <w:pStyle w:val="TableContents"/>
              <w:bidi w:val="0"/>
              <w:spacing w:before="0" w:after="283"/>
              <w:jc w:val="center"/>
              <w:rPr/>
            </w:pPr>
            <w:r>
              <w:rPr/>
              <w:t> </w:t>
            </w:r>
          </w:p>
        </w:tc>
        <w:tc>
          <w:tcPr>
            <w:tcW w:w="1592" w:type="dxa"/>
            <w:tcBorders/>
            <w:shd w:fill="CCEEFF" w:val="clear"/>
            <w:vAlign w:val="center"/>
          </w:tcPr>
          <w:p>
            <w:pPr>
              <w:pStyle w:val="TableContents"/>
              <w:bidi w:val="0"/>
              <w:spacing w:before="0" w:after="283"/>
              <w:jc w:val="center"/>
              <w:rPr>
                <w:b/>
              </w:rPr>
            </w:pPr>
            <w:r>
              <w:rPr>
                <w:b/>
              </w:rPr>
              <w:t>82.3 (EH/s)</w:t>
            </w:r>
          </w:p>
        </w:tc>
        <w:tc>
          <w:tcPr>
            <w:tcW w:w="60" w:type="dxa"/>
            <w:tcBorders/>
            <w:shd w:fill="CCEEFF" w:val="clear"/>
            <w:vAlign w:val="center"/>
          </w:tcPr>
          <w:p>
            <w:pPr>
              <w:pStyle w:val="TableContents"/>
              <w:bidi w:val="0"/>
              <w:spacing w:before="0" w:after="283"/>
              <w:jc w:val="center"/>
              <w:rPr/>
            </w:pPr>
            <w:r>
              <w:rPr/>
              <w:t> </w:t>
            </w:r>
          </w:p>
        </w:tc>
        <w:tc>
          <w:tcPr>
            <w:tcW w:w="1056" w:type="dxa"/>
            <w:tcBorders/>
            <w:shd w:fill="CCEEFF" w:val="clear"/>
            <w:vAlign w:val="center"/>
          </w:tcPr>
          <w:p>
            <w:pPr>
              <w:pStyle w:val="TableContents"/>
              <w:bidi w:val="0"/>
              <w:spacing w:before="0" w:after="283"/>
              <w:jc w:val="center"/>
              <w:rPr>
                <w:b/>
              </w:rPr>
            </w:pPr>
            <w:r>
              <w:rPr>
                <w:b/>
              </w:rPr>
              <w:t>28.7 (EH/s)</w:t>
            </w:r>
          </w:p>
        </w:tc>
        <w:tc>
          <w:tcPr>
            <w:tcW w:w="60" w:type="dxa"/>
            <w:tcBorders/>
            <w:shd w:fill="CCEEFF" w:val="clear"/>
            <w:vAlign w:val="center"/>
          </w:tcPr>
          <w:p>
            <w:pPr>
              <w:pStyle w:val="TableContents"/>
              <w:bidi w:val="0"/>
              <w:spacing w:before="0" w:after="283"/>
              <w:jc w:val="center"/>
              <w:rPr/>
            </w:pPr>
            <w:r>
              <w:rPr/>
              <w:t> </w:t>
            </w:r>
          </w:p>
        </w:tc>
        <w:tc>
          <w:tcPr>
            <w:tcW w:w="1029" w:type="dxa"/>
            <w:tcBorders/>
            <w:shd w:fill="CCEEFF" w:val="clear"/>
            <w:vAlign w:val="center"/>
          </w:tcPr>
          <w:p>
            <w:pPr>
              <w:pStyle w:val="TableContents"/>
              <w:bidi w:val="0"/>
              <w:spacing w:before="0" w:after="283"/>
              <w:jc w:val="center"/>
              <w:rPr>
                <w:b/>
              </w:rPr>
            </w:pPr>
            <w:r>
              <w:rPr>
                <w:b/>
              </w:rPr>
              <w:t>1,355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October 19, 2026 (GLOBE NEWSWIRE) </w:t>
      </w:r>
      <w:r>
        <w:rPr>
          <w:rFonts w:ascii="Times New Roman;Times;Serif" w:hAnsi="Times New Roman;Times;Serif"/>
          <w:b w:val="false"/>
          <w:i w:val="false"/>
          <w:caps w:val="false"/>
          <w:smallCaps w:val="false"/>
          <w:sz w:val="20"/>
        </w:rPr>
        <w:t>-- 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world-leading technology company for AI neocloud services and Bitcoin mining infrastructure , today announced its unaudited operations updates for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September demonstrated our ability to convert owned power into contracted AI Cloud revenue. Offtake commitments covering more than 70% of our A201 facility in Malaysia, representing over $1.7 billion of expected revenue over five years, bring our AI Cloud revenue backlog to approximately $2.9 billion,” said Michael G. Potter, Chief Financial Officer of Bitdeer. Mr. Potter continued, “Our collaboration with NVIDIA on enterprise agent safety and the land acquisition near our Rockdale site further support the platform we are building, while our Bitcoin mining business continues to benefit from increased tailwinds as pricing continues to strengthen.”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AI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Colocation AI Data Center: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recently acquired 200 acres near existing 563 MW Rockdale facility to support AI/HPC infrastructure development. Outright ownership provides the long-term site control required to develop and finance AI/HPC data center infrastructure. Bitdeer believes its Rockdale site, with its existing large-load interconnection and established transmission infrastructure, is well positioned to receive additional power allocations over the coming years.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announced a 16-Year AI/HPC Data Center Lease for its Tydal, Norway Campus, representing approximately $4.7 billion of total contract value over the initial base term, with the potential to reach a total contract value of approximately $8.0 billion if the tenant exercises its one-time 8-year lease extension.</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bidi w:val="0"/>
        <w:jc w:val="right"/>
        <w:rPr/>
      </w:pPr>
      <w:r>
        <w:rPr/>
        <w:t> </w:t>
      </w:r>
      <w:r>
        <w:rPr/>
        <w:drawing>
          <wp:inline distT="0" distB="0" distL="0" distR="0">
            <wp:extent cx="10477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69532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Tydal, Norway AI Data Center expected to be among Norway’s largest and most efficient AI data centers upon completion. With a PUE of approximately 1.1 and running on 100% renewable energy, it sets a compelling standard for data center performance, at scale.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 Cloud Key Metrics: </w:t>
      </w:r>
      <w:r>
        <w:rPr>
          <w:rFonts w:ascii="Times New Roman;Times;Serif" w:hAnsi="Times New Roman;Times;Serif"/>
          <w:b w:val="false"/>
          <w:i/>
          <w:caps w:val="false"/>
          <w:smallCaps w:val="false"/>
          <w:sz w:val="20"/>
        </w:rPr>
        <w:t>(as of 9/30/2026)</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71"/>
        <w:gridCol w:w="60"/>
        <w:gridCol w:w="3583"/>
        <w:gridCol w:w="60"/>
        <w:gridCol w:w="3531"/>
      </w:tblGrid>
      <w:tr>
        <w:trPr/>
        <w:tc>
          <w:tcPr>
            <w:tcW w:w="2971" w:type="dxa"/>
            <w:tcBorders>
              <w:bottom w:val="single" w:sz="12" w:space="0" w:color="000000"/>
            </w:tcBorders>
            <w:vAlign w:val="center"/>
          </w:tcPr>
          <w:p>
            <w:pPr>
              <w:pStyle w:val="TableContents"/>
              <w:bidi w:val="0"/>
              <w:spacing w:before="0" w:after="283"/>
              <w:jc w:val="both"/>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3583" w:type="dxa"/>
            <w:tcBorders>
              <w:bottom w:val="single" w:sz="12" w:space="0" w:color="000000"/>
            </w:tcBorders>
            <w:vAlign w:val="center"/>
          </w:tcPr>
          <w:p>
            <w:pPr>
              <w:pStyle w:val="TableContents"/>
              <w:bidi w:val="0"/>
              <w:spacing w:before="0" w:after="283"/>
              <w:jc w:val="center"/>
              <w:rPr>
                <w:b/>
              </w:rPr>
            </w:pPr>
            <w:r>
              <w:rPr>
                <w:b/>
              </w:rPr>
              <w:t>September 2026</w:t>
            </w:r>
          </w:p>
        </w:tc>
        <w:tc>
          <w:tcPr>
            <w:tcW w:w="60" w:type="dxa"/>
            <w:tcBorders/>
            <w:tcMar>
              <w:bottom w:w="0" w:type="dxa"/>
            </w:tcMar>
            <w:vAlign w:val="center"/>
          </w:tcPr>
          <w:p>
            <w:pPr>
              <w:pStyle w:val="TableContents"/>
              <w:bidi w:val="0"/>
              <w:spacing w:before="0" w:after="283"/>
              <w:jc w:val="left"/>
              <w:rPr/>
            </w:pPr>
            <w:r>
              <w:rPr/>
              <w:t> </w:t>
            </w:r>
          </w:p>
        </w:tc>
        <w:tc>
          <w:tcPr>
            <w:tcW w:w="3531" w:type="dxa"/>
            <w:tcBorders>
              <w:bottom w:val="single" w:sz="12" w:space="0" w:color="000000"/>
            </w:tcBorders>
            <w:vAlign w:val="center"/>
          </w:tcPr>
          <w:p>
            <w:pPr>
              <w:pStyle w:val="TableContents"/>
              <w:bidi w:val="0"/>
              <w:spacing w:before="0" w:after="283"/>
              <w:jc w:val="center"/>
              <w:rPr>
                <w:b/>
              </w:rPr>
            </w:pPr>
            <w:r>
              <w:rPr>
                <w:b/>
              </w:rPr>
              <w:t>August 2026</w:t>
            </w:r>
          </w:p>
        </w:tc>
      </w:tr>
      <w:tr>
        <w:trPr/>
        <w:tc>
          <w:tcPr>
            <w:tcW w:w="2971" w:type="dxa"/>
            <w:tcBorders/>
            <w:shd w:fill="CCEEFF" w:val="clear"/>
            <w:tcMar>
              <w:bottom w:w="0" w:type="dxa"/>
            </w:tcMar>
            <w:vAlign w:val="center"/>
          </w:tcPr>
          <w:p>
            <w:pPr>
              <w:pStyle w:val="TableContents"/>
              <w:bidi w:val="0"/>
              <w:spacing w:before="0" w:after="283"/>
              <w:jc w:val="both"/>
              <w:rPr/>
            </w:pPr>
            <w:r>
              <w:rPr/>
              <w:t>GPU Amount Deployed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3" w:type="dxa"/>
            <w:tcBorders/>
            <w:shd w:fill="CCEEFF" w:val="clear"/>
            <w:tcMar>
              <w:bottom w:w="0" w:type="dxa"/>
            </w:tcMar>
            <w:vAlign w:val="center"/>
          </w:tcPr>
          <w:p>
            <w:pPr>
              <w:pStyle w:val="TableContents"/>
              <w:bidi w:val="0"/>
              <w:spacing w:before="0" w:after="283"/>
              <w:jc w:val="center"/>
              <w:rPr/>
            </w:pPr>
            <w:r>
              <w:rPr/>
              <w:t>4,328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1" w:type="dxa"/>
            <w:tcBorders/>
            <w:shd w:fill="CCEEFF" w:val="clear"/>
            <w:tcMar>
              <w:bottom w:w="0" w:type="dxa"/>
            </w:tcMar>
            <w:vAlign w:val="center"/>
          </w:tcPr>
          <w:p>
            <w:pPr>
              <w:pStyle w:val="TableContents"/>
              <w:bidi w:val="0"/>
              <w:spacing w:before="0" w:after="283"/>
              <w:jc w:val="center"/>
              <w:rPr/>
            </w:pPr>
            <w:r>
              <w:rPr/>
              <w:t>4,328</w:t>
            </w:r>
          </w:p>
        </w:tc>
      </w:tr>
      <w:tr>
        <w:trPr/>
        <w:tc>
          <w:tcPr>
            <w:tcW w:w="2971" w:type="dxa"/>
            <w:tcBorders/>
            <w:shd w:fill="FFFFFF" w:val="clear"/>
            <w:tcMar>
              <w:bottom w:w="0" w:type="dxa"/>
            </w:tcMar>
            <w:vAlign w:val="center"/>
          </w:tcPr>
          <w:p>
            <w:pPr>
              <w:pStyle w:val="TableContents"/>
              <w:bidi w:val="0"/>
              <w:spacing w:before="0" w:after="283"/>
              <w:jc w:val="both"/>
              <w:rPr/>
            </w:pPr>
            <w:r>
              <w:rPr/>
              <w:t>GPU Types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3" w:type="dxa"/>
            <w:tcBorders/>
            <w:shd w:fill="FFFFFF" w:val="clear"/>
            <w:tcMar>
              <w:bottom w:w="0" w:type="dxa"/>
            </w:tcMar>
            <w:vAlign w:val="center"/>
          </w:tcPr>
          <w:p>
            <w:pPr>
              <w:pStyle w:val="TableContents"/>
              <w:bidi w:val="0"/>
              <w:spacing w:before="0" w:after="283"/>
              <w:jc w:val="center"/>
              <w:rPr/>
            </w:pPr>
            <w:r>
              <w:rPr/>
              <w:t>H100, H200, B200, B300, GB200, GB300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1" w:type="dxa"/>
            <w:tcBorders/>
            <w:shd w:fill="FFFFFF" w:val="clear"/>
            <w:tcMar>
              <w:bottom w:w="0" w:type="dxa"/>
            </w:tcMar>
            <w:vAlign w:val="center"/>
          </w:tcPr>
          <w:p>
            <w:pPr>
              <w:pStyle w:val="TableContents"/>
              <w:bidi w:val="0"/>
              <w:spacing w:before="0" w:after="283"/>
              <w:jc w:val="center"/>
              <w:rPr/>
            </w:pPr>
            <w:r>
              <w:rPr/>
              <w:t>H100, H200, B200, B300, GB200, GB300</w:t>
            </w:r>
          </w:p>
        </w:tc>
      </w:tr>
      <w:tr>
        <w:trPr/>
        <w:tc>
          <w:tcPr>
            <w:tcW w:w="297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Utilization Rate</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3" w:type="dxa"/>
            <w:tcBorders/>
            <w:shd w:fill="CCEEFF" w:val="clear"/>
            <w:tcMar>
              <w:bottom w:w="0" w:type="dxa"/>
            </w:tcMar>
            <w:vAlign w:val="center"/>
          </w:tcPr>
          <w:p>
            <w:pPr>
              <w:pStyle w:val="TableContents"/>
              <w:bidi w:val="0"/>
              <w:spacing w:before="0" w:after="283"/>
              <w:jc w:val="center"/>
              <w:rPr/>
            </w:pPr>
            <w:r>
              <w:rPr/>
              <w:t>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1" w:type="dxa"/>
            <w:tcBorders/>
            <w:shd w:fill="CCEEFF" w:val="clear"/>
            <w:tcMar>
              <w:bottom w:w="0" w:type="dxa"/>
            </w:tcMar>
            <w:vAlign w:val="center"/>
          </w:tcPr>
          <w:p>
            <w:pPr>
              <w:pStyle w:val="TableContents"/>
              <w:bidi w:val="0"/>
              <w:spacing w:before="0" w:after="283"/>
              <w:jc w:val="center"/>
              <w:rPr/>
            </w:pPr>
            <w:r>
              <w:rPr/>
              <w:t>92%</w:t>
            </w:r>
          </w:p>
        </w:tc>
      </w:tr>
      <w:tr>
        <w:trPr/>
        <w:tc>
          <w:tcPr>
            <w:tcW w:w="2971" w:type="dxa"/>
            <w:tcBorders/>
            <w:shd w:fill="FFFFFF" w:val="clear"/>
            <w:tcMar>
              <w:bottom w:w="0" w:type="dxa"/>
            </w:tcMar>
            <w:vAlign w:val="center"/>
          </w:tcPr>
          <w:p>
            <w:pPr>
              <w:pStyle w:val="TableContents"/>
              <w:bidi w:val="0"/>
              <w:spacing w:before="0" w:after="283"/>
              <w:jc w:val="both"/>
              <w:rPr/>
            </w:pPr>
            <w:r>
              <w:rPr/>
              <w:t>GPUs Under External Subscription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3" w:type="dxa"/>
            <w:tcBorders/>
            <w:shd w:fill="FFFFFF" w:val="clear"/>
            <w:tcMar>
              <w:bottom w:w="0" w:type="dxa"/>
            </w:tcMar>
            <w:vAlign w:val="center"/>
          </w:tcPr>
          <w:p>
            <w:pPr>
              <w:pStyle w:val="TableContents"/>
              <w:bidi w:val="0"/>
              <w:spacing w:before="0" w:after="283"/>
              <w:jc w:val="center"/>
              <w:rPr/>
            </w:pPr>
            <w:r>
              <w:rPr/>
              <w:t>4,007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1" w:type="dxa"/>
            <w:tcBorders/>
            <w:shd w:fill="FFFFFF" w:val="clear"/>
            <w:tcMar>
              <w:bottom w:w="0" w:type="dxa"/>
            </w:tcMar>
            <w:vAlign w:val="center"/>
          </w:tcPr>
          <w:p>
            <w:pPr>
              <w:pStyle w:val="TableContents"/>
              <w:bidi w:val="0"/>
              <w:spacing w:before="0" w:after="283"/>
              <w:jc w:val="center"/>
              <w:rPr/>
            </w:pPr>
            <w:r>
              <w:rPr/>
              <w:t>3,998</w:t>
            </w:r>
          </w:p>
        </w:tc>
      </w:tr>
      <w:tr>
        <w:trPr/>
        <w:tc>
          <w:tcPr>
            <w:tcW w:w="297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ARR</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3" w:type="dxa"/>
            <w:tcBorders/>
            <w:shd w:fill="CCEEFF" w:val="clear"/>
            <w:tcMar>
              <w:bottom w:w="0" w:type="dxa"/>
            </w:tcMar>
            <w:vAlign w:val="center"/>
          </w:tcPr>
          <w:p>
            <w:pPr>
              <w:pStyle w:val="TableContents"/>
              <w:bidi w:val="0"/>
              <w:spacing w:before="0" w:after="283"/>
              <w:jc w:val="center"/>
              <w:rPr/>
            </w:pPr>
            <w:r>
              <w:rPr/>
              <w:t>~$86M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1" w:type="dxa"/>
            <w:tcBorders/>
            <w:shd w:fill="CCEEFF" w:val="clear"/>
            <w:tcMar>
              <w:bottom w:w="0" w:type="dxa"/>
            </w:tcMar>
            <w:vAlign w:val="center"/>
          </w:tcPr>
          <w:p>
            <w:pPr>
              <w:pStyle w:val="TableContents"/>
              <w:bidi w:val="0"/>
              <w:spacing w:before="0" w:after="283"/>
              <w:jc w:val="center"/>
              <w:rPr/>
            </w:pPr>
            <w:r>
              <w:rPr/>
              <w:t>~$86M</w:t>
            </w:r>
          </w:p>
        </w:tc>
      </w:tr>
      <w:tr>
        <w:trPr/>
        <w:tc>
          <w:tcPr>
            <w:tcW w:w="2971" w:type="dxa"/>
            <w:tcBorders/>
            <w:shd w:fill="FFFFFF" w:val="clear"/>
            <w:tcMar>
              <w:bottom w:w="0" w:type="dxa"/>
            </w:tcMar>
            <w:vAlign w:val="center"/>
          </w:tcPr>
          <w:p>
            <w:pPr>
              <w:pStyle w:val="TableContents"/>
              <w:bidi w:val="0"/>
              <w:spacing w:before="0" w:after="283"/>
              <w:jc w:val="both"/>
              <w:rPr/>
            </w:pPr>
            <w:r>
              <w:rPr/>
              <w:t>Revenue Backlog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3" w:type="dxa"/>
            <w:tcBorders/>
            <w:shd w:fill="FFFFFF" w:val="clear"/>
            <w:tcMar>
              <w:bottom w:w="0" w:type="dxa"/>
            </w:tcMar>
            <w:vAlign w:val="center"/>
          </w:tcPr>
          <w:p>
            <w:pPr>
              <w:pStyle w:val="TableContents"/>
              <w:bidi w:val="0"/>
              <w:spacing w:before="0" w:after="283"/>
              <w:jc w:val="center"/>
              <w:rPr/>
            </w:pPr>
            <w:r>
              <w:rPr/>
              <w:t>$2.9B</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1" w:type="dxa"/>
            <w:tcBorders/>
            <w:shd w:fill="FFFFFF" w:val="clear"/>
            <w:tcMar>
              <w:bottom w:w="0" w:type="dxa"/>
            </w:tcMar>
            <w:vAlign w:val="center"/>
          </w:tcPr>
          <w:p>
            <w:pPr>
              <w:pStyle w:val="TableContents"/>
              <w:bidi w:val="0"/>
              <w:spacing w:before="0" w:after="283"/>
              <w:jc w:val="center"/>
              <w:rPr/>
            </w:pPr>
            <w:r>
              <w:rPr/>
              <w:t>$0.9B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Cloud Pipeline Update: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3"/>
        <w:gridCol w:w="60"/>
        <w:gridCol w:w="966"/>
        <w:gridCol w:w="60"/>
        <w:gridCol w:w="940"/>
        <w:gridCol w:w="60"/>
        <w:gridCol w:w="1548"/>
        <w:gridCol w:w="60"/>
        <w:gridCol w:w="672"/>
        <w:gridCol w:w="60"/>
        <w:gridCol w:w="1465"/>
        <w:gridCol w:w="60"/>
        <w:gridCol w:w="1980"/>
        <w:gridCol w:w="60"/>
        <w:gridCol w:w="1261"/>
      </w:tblGrid>
      <w:tr>
        <w:trPr/>
        <w:tc>
          <w:tcPr>
            <w:tcW w:w="953" w:type="dxa"/>
            <w:tcBorders>
              <w:bottom w:val="single" w:sz="12" w:space="0" w:color="000000"/>
            </w:tcBorders>
            <w:vAlign w:val="center"/>
          </w:tcPr>
          <w:p>
            <w:pPr>
              <w:pStyle w:val="TableContents"/>
              <w:bidi w:val="0"/>
              <w:spacing w:before="0" w:after="283"/>
              <w:jc w:val="left"/>
              <w:rPr>
                <w:b/>
              </w:rPr>
            </w:pPr>
            <w:r>
              <w:rPr>
                <w:b/>
              </w:rPr>
              <w:t>Data Center</w:t>
            </w:r>
          </w:p>
        </w:tc>
        <w:tc>
          <w:tcPr>
            <w:tcW w:w="60" w:type="dxa"/>
            <w:tcBorders/>
            <w:tcMar>
              <w:bottom w:w="0" w:type="dxa"/>
            </w:tcMar>
            <w:vAlign w:val="center"/>
          </w:tcPr>
          <w:p>
            <w:pPr>
              <w:pStyle w:val="TableContents"/>
              <w:bidi w:val="0"/>
              <w:spacing w:before="0" w:after="283"/>
              <w:jc w:val="left"/>
              <w:rPr/>
            </w:pPr>
            <w:r>
              <w:rPr/>
              <w:t> </w:t>
            </w:r>
          </w:p>
        </w:tc>
        <w:tc>
          <w:tcPr>
            <w:tcW w:w="966" w:type="dxa"/>
            <w:tcBorders>
              <w:bottom w:val="single" w:sz="12" w:space="0" w:color="000000"/>
            </w:tcBorders>
            <w:vAlign w:val="center"/>
          </w:tcPr>
          <w:p>
            <w:pPr>
              <w:pStyle w:val="TableContents"/>
              <w:bidi w:val="0"/>
              <w:spacing w:before="0" w:after="283"/>
              <w:jc w:val="center"/>
              <w:rPr>
                <w:b/>
              </w:rPr>
            </w:pPr>
            <w:r>
              <w:rPr>
                <w:b/>
              </w:rPr>
              <w:t>Location</w:t>
            </w:r>
          </w:p>
        </w:tc>
        <w:tc>
          <w:tcPr>
            <w:tcW w:w="60" w:type="dxa"/>
            <w:tcBorders/>
            <w:tcMar>
              <w:bottom w:w="0" w:type="dxa"/>
            </w:tcMar>
            <w:vAlign w:val="center"/>
          </w:tcPr>
          <w:p>
            <w:pPr>
              <w:pStyle w:val="TableContents"/>
              <w:bidi w:val="0"/>
              <w:spacing w:before="0" w:after="283"/>
              <w:jc w:val="left"/>
              <w:rPr/>
            </w:pPr>
            <w:r>
              <w:rPr/>
              <w:t> </w:t>
            </w:r>
          </w:p>
        </w:tc>
        <w:tc>
          <w:tcPr>
            <w:tcW w:w="940" w:type="dxa"/>
            <w:tcBorders>
              <w:bottom w:val="single" w:sz="12" w:space="0" w:color="000000"/>
            </w:tcBorders>
            <w:vAlign w:val="center"/>
          </w:tcPr>
          <w:p>
            <w:pPr>
              <w:pStyle w:val="TableContents"/>
              <w:bidi w:val="0"/>
              <w:spacing w:before="0" w:after="283"/>
              <w:jc w:val="center"/>
              <w:rPr>
                <w:b/>
              </w:rPr>
            </w:pPr>
            <w:r>
              <w:rPr>
                <w:b/>
              </w:rPr>
              <w:t>IT Load (MW)</w:t>
            </w:r>
          </w:p>
        </w:tc>
        <w:tc>
          <w:tcPr>
            <w:tcW w:w="60" w:type="dxa"/>
            <w:tcBorders/>
            <w:tcMar>
              <w:bottom w:w="0" w:type="dxa"/>
            </w:tcMar>
            <w:vAlign w:val="center"/>
          </w:tcPr>
          <w:p>
            <w:pPr>
              <w:pStyle w:val="TableContents"/>
              <w:bidi w:val="0"/>
              <w:spacing w:before="0" w:after="283"/>
              <w:jc w:val="left"/>
              <w:rPr/>
            </w:pPr>
            <w:r>
              <w:rPr/>
              <w:t> </w:t>
            </w:r>
          </w:p>
        </w:tc>
        <w:tc>
          <w:tcPr>
            <w:tcW w:w="1548" w:type="dxa"/>
            <w:tcBorders>
              <w:bottom w:val="single" w:sz="12" w:space="0" w:color="000000"/>
            </w:tcBorders>
            <w:vAlign w:val="center"/>
          </w:tcPr>
          <w:p>
            <w:pPr>
              <w:pStyle w:val="TableContents"/>
              <w:bidi w:val="0"/>
              <w:spacing w:before="0" w:after="283"/>
              <w:jc w:val="center"/>
              <w:rPr>
                <w:b/>
              </w:rPr>
            </w:pPr>
            <w:r>
              <w:rPr>
                <w:b/>
              </w:rPr>
              <w:t>GPU Platform</w:t>
            </w:r>
          </w:p>
        </w:tc>
        <w:tc>
          <w:tcPr>
            <w:tcW w:w="60" w:type="dxa"/>
            <w:tcBorders/>
            <w:tcMar>
              <w:bottom w:w="0" w:type="dxa"/>
            </w:tcMar>
            <w:vAlign w:val="center"/>
          </w:tcPr>
          <w:p>
            <w:pPr>
              <w:pStyle w:val="TableContents"/>
              <w:bidi w:val="0"/>
              <w:spacing w:before="0" w:after="283"/>
              <w:jc w:val="left"/>
              <w:rPr/>
            </w:pPr>
            <w:r>
              <w:rPr/>
              <w:t> </w:t>
            </w:r>
          </w:p>
        </w:tc>
        <w:tc>
          <w:tcPr>
            <w:tcW w:w="672" w:type="dxa"/>
            <w:tcBorders>
              <w:bottom w:val="single" w:sz="12" w:space="0" w:color="000000"/>
            </w:tcBorders>
            <w:vAlign w:val="center"/>
          </w:tcPr>
          <w:p>
            <w:pPr>
              <w:pStyle w:val="TableContents"/>
              <w:bidi w:val="0"/>
              <w:spacing w:before="0" w:after="283"/>
              <w:jc w:val="center"/>
              <w:rPr>
                <w:b/>
              </w:rPr>
            </w:pPr>
            <w:r>
              <w:rPr>
                <w:b/>
              </w:rPr>
              <w:t>DC RFS</w:t>
            </w:r>
          </w:p>
        </w:tc>
        <w:tc>
          <w:tcPr>
            <w:tcW w:w="60" w:type="dxa"/>
            <w:tcBorders/>
            <w:tcMar>
              <w:bottom w:w="0" w:type="dxa"/>
            </w:tcMar>
            <w:vAlign w:val="center"/>
          </w:tcPr>
          <w:p>
            <w:pPr>
              <w:pStyle w:val="TableContents"/>
              <w:bidi w:val="0"/>
              <w:spacing w:before="0" w:after="283"/>
              <w:jc w:val="left"/>
              <w:rPr/>
            </w:pPr>
            <w:r>
              <w:rPr/>
              <w:t> </w:t>
            </w:r>
          </w:p>
        </w:tc>
        <w:tc>
          <w:tcPr>
            <w:tcW w:w="1465" w:type="dxa"/>
            <w:tcBorders>
              <w:bottom w:val="single" w:sz="12" w:space="0" w:color="000000"/>
            </w:tcBorders>
            <w:vAlign w:val="center"/>
          </w:tcPr>
          <w:p>
            <w:pPr>
              <w:pStyle w:val="TableContents"/>
              <w:bidi w:val="0"/>
              <w:spacing w:before="0" w:after="283"/>
              <w:jc w:val="center"/>
              <w:rPr>
                <w:b/>
              </w:rPr>
            </w:pPr>
            <w:r>
              <w:rPr>
                <w:b/>
              </w:rPr>
              <w:t>Cloud Contract Status</w:t>
            </w:r>
          </w:p>
        </w:tc>
        <w:tc>
          <w:tcPr>
            <w:tcW w:w="60" w:type="dxa"/>
            <w:tcBorders/>
            <w:tcMar>
              <w:bottom w:w="0" w:type="dxa"/>
            </w:tcMar>
            <w:vAlign w:val="center"/>
          </w:tcPr>
          <w:p>
            <w:pPr>
              <w:pStyle w:val="TableContents"/>
              <w:bidi w:val="0"/>
              <w:spacing w:before="0" w:after="283"/>
              <w:jc w:val="left"/>
              <w:rPr/>
            </w:pPr>
            <w:r>
              <w:rPr/>
              <w:t> </w:t>
            </w:r>
          </w:p>
        </w:tc>
        <w:tc>
          <w:tcPr>
            <w:tcW w:w="1980" w:type="dxa"/>
            <w:tcBorders>
              <w:bottom w:val="single" w:sz="12" w:space="0" w:color="000000"/>
            </w:tcBorders>
            <w:vAlign w:val="center"/>
          </w:tcPr>
          <w:p>
            <w:pPr>
              <w:pStyle w:val="TableContents"/>
              <w:bidi w:val="0"/>
              <w:spacing w:before="0" w:after="283"/>
              <w:jc w:val="center"/>
              <w:rPr>
                <w:b/>
              </w:rPr>
            </w:pPr>
            <w:r>
              <w:rPr>
                <w:b/>
              </w:rPr>
              <w:t>Long Term Contract Coverage, %</w:t>
            </w:r>
          </w:p>
        </w:tc>
        <w:tc>
          <w:tcPr>
            <w:tcW w:w="60" w:type="dxa"/>
            <w:tcBorders/>
            <w:tcMar>
              <w:bottom w:w="0" w:type="dxa"/>
            </w:tcMar>
            <w:vAlign w:val="center"/>
          </w:tcPr>
          <w:p>
            <w:pPr>
              <w:pStyle w:val="TableContents"/>
              <w:bidi w:val="0"/>
              <w:spacing w:before="0" w:after="283"/>
              <w:jc w:val="left"/>
              <w:rPr/>
            </w:pPr>
            <w:r>
              <w:rPr/>
              <w:t> </w:t>
            </w:r>
          </w:p>
        </w:tc>
        <w:tc>
          <w:tcPr>
            <w:tcW w:w="1261" w:type="dxa"/>
            <w:tcBorders>
              <w:bottom w:val="single" w:sz="12" w:space="0" w:color="000000"/>
            </w:tcBorders>
            <w:vAlign w:val="center"/>
          </w:tcPr>
          <w:p>
            <w:pPr>
              <w:pStyle w:val="TableContents"/>
              <w:bidi w:val="0"/>
              <w:spacing w:before="0" w:after="283"/>
              <w:jc w:val="center"/>
              <w:rPr>
                <w:b/>
              </w:rPr>
            </w:pPr>
            <w:r>
              <w:rPr>
                <w:b/>
              </w:rPr>
              <w:t>DC Contract</w:t>
            </w:r>
          </w:p>
        </w:tc>
      </w:tr>
      <w:tr>
        <w:trPr/>
        <w:tc>
          <w:tcPr>
            <w:tcW w:w="953" w:type="dxa"/>
            <w:tcBorders/>
            <w:shd w:fill="CCEEFF" w:val="clear"/>
            <w:tcMar>
              <w:bottom w:w="0" w:type="dxa"/>
            </w:tcMar>
            <w:vAlign w:val="center"/>
          </w:tcPr>
          <w:p>
            <w:pPr>
              <w:pStyle w:val="TableContents"/>
              <w:bidi w:val="0"/>
              <w:spacing w:before="0" w:after="283"/>
              <w:jc w:val="center"/>
              <w:rPr>
                <w:b/>
              </w:rPr>
            </w:pPr>
            <w:r>
              <w:rPr>
                <w:b/>
              </w:rPr>
              <w:t>A101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6"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0" w:type="dxa"/>
            <w:tcBorders/>
            <w:shd w:fill="CCEEFF" w:val="clear"/>
            <w:tcMar>
              <w:bottom w:w="0" w:type="dxa"/>
            </w:tcMar>
            <w:vAlign w:val="center"/>
          </w:tcPr>
          <w:p>
            <w:pPr>
              <w:pStyle w:val="TableContents"/>
              <w:bidi w:val="0"/>
              <w:spacing w:before="0" w:after="283"/>
              <w:jc w:val="center"/>
              <w:rPr/>
            </w:pPr>
            <w:r>
              <w:rPr/>
              <w:t>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48" w:type="dxa"/>
            <w:tcBorders/>
            <w:shd w:fill="CCEEFF" w:val="clear"/>
            <w:tcMar>
              <w:bottom w:w="0" w:type="dxa"/>
            </w:tcMar>
            <w:vAlign w:val="center"/>
          </w:tcPr>
          <w:p>
            <w:pPr>
              <w:pStyle w:val="TableContents"/>
              <w:bidi w:val="0"/>
              <w:spacing w:before="0" w:after="283"/>
              <w:jc w:val="center"/>
              <w:rPr/>
            </w:pPr>
            <w:r>
              <w:rPr/>
              <w:t>GB200 and GB300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2" w:type="dxa"/>
            <w:tcBorders/>
            <w:shd w:fill="CCEEFF" w:val="clear"/>
            <w:tcMar>
              <w:bottom w:w="0" w:type="dxa"/>
            </w:tcMar>
            <w:vAlign w:val="center"/>
          </w:tcPr>
          <w:p>
            <w:pPr>
              <w:pStyle w:val="TableContents"/>
              <w:bidi w:val="0"/>
              <w:spacing w:before="0" w:after="283"/>
              <w:jc w:val="center"/>
              <w:rPr/>
            </w:pPr>
            <w:r>
              <w:rPr/>
              <w:t>Live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5" w:type="dxa"/>
            <w:tcBorders/>
            <w:shd w:fill="CCEEFF" w:val="clear"/>
            <w:tcMar>
              <w:bottom w:w="0" w:type="dxa"/>
            </w:tcMar>
            <w:vAlign w:val="center"/>
          </w:tcPr>
          <w:p>
            <w:pPr>
              <w:pStyle w:val="TableContents"/>
              <w:bidi w:val="0"/>
              <w:spacing w:before="0" w:after="283"/>
              <w:jc w:val="center"/>
              <w:rPr/>
            </w:pPr>
            <w:r>
              <w:rPr/>
              <w:t>Live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80"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1" w:type="dxa"/>
            <w:tcBorders/>
            <w:shd w:fill="CCEEFF" w:val="clear"/>
            <w:tcMar>
              <w:bottom w:w="0" w:type="dxa"/>
            </w:tcMar>
            <w:vAlign w:val="center"/>
          </w:tcPr>
          <w:p>
            <w:pPr>
              <w:pStyle w:val="TableContents"/>
              <w:bidi w:val="0"/>
              <w:spacing w:before="0" w:after="283"/>
              <w:jc w:val="center"/>
              <w:rPr/>
            </w:pPr>
            <w:r>
              <w:rPr/>
              <w:t>Signed</w:t>
            </w:r>
          </w:p>
        </w:tc>
      </w:tr>
      <w:tr>
        <w:trPr/>
        <w:tc>
          <w:tcPr>
            <w:tcW w:w="953" w:type="dxa"/>
            <w:tcBorders/>
            <w:shd w:fill="FFFFFF" w:val="clear"/>
            <w:tcMar>
              <w:bottom w:w="0" w:type="dxa"/>
            </w:tcMar>
            <w:vAlign w:val="center"/>
          </w:tcPr>
          <w:p>
            <w:pPr>
              <w:pStyle w:val="TableContents"/>
              <w:bidi w:val="0"/>
              <w:spacing w:before="0" w:after="283"/>
              <w:jc w:val="center"/>
              <w:rPr>
                <w:b/>
              </w:rPr>
            </w:pPr>
            <w:r>
              <w:rPr>
                <w:b/>
              </w:rPr>
              <w:t>A102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6" w:type="dxa"/>
            <w:tcBorders/>
            <w:shd w:fill="FFFFFF" w:val="clear"/>
            <w:tcMar>
              <w:bottom w:w="0" w:type="dxa"/>
            </w:tcMar>
            <w:vAlign w:val="center"/>
          </w:tcPr>
          <w:p>
            <w:pPr>
              <w:pStyle w:val="TableContents"/>
              <w:bidi w:val="0"/>
              <w:spacing w:before="0" w:after="283"/>
              <w:jc w:val="center"/>
              <w:rPr/>
            </w:pPr>
            <w:r>
              <w:rPr/>
              <w:t>Malaysia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0" w:type="dxa"/>
            <w:tcBorders/>
            <w:shd w:fill="FFFFFF" w:val="clear"/>
            <w:tcMar>
              <w:bottom w:w="0" w:type="dxa"/>
            </w:tcMar>
            <w:vAlign w:val="center"/>
          </w:tcPr>
          <w:p>
            <w:pPr>
              <w:pStyle w:val="TableContents"/>
              <w:bidi w:val="0"/>
              <w:spacing w:before="0" w:after="283"/>
              <w:jc w:val="center"/>
              <w:rPr/>
            </w:pPr>
            <w:r>
              <w:rPr/>
              <w:t>9.5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8" w:type="dxa"/>
            <w:tcBorders/>
            <w:shd w:fill="FFFFFF" w:val="clear"/>
            <w:tcMar>
              <w:bottom w:w="0" w:type="dxa"/>
            </w:tcMar>
            <w:vAlign w:val="center"/>
          </w:tcPr>
          <w:p>
            <w:pPr>
              <w:pStyle w:val="TableContents"/>
              <w:bidi w:val="0"/>
              <w:spacing w:before="0" w:after="283"/>
              <w:jc w:val="center"/>
              <w:rPr/>
            </w:pPr>
            <w:r>
              <w:rPr/>
              <w:t>GB300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72" w:type="dxa"/>
            <w:tcBorders/>
            <w:shd w:fill="FFFFFF" w:val="clear"/>
            <w:tcMar>
              <w:bottom w:w="0" w:type="dxa"/>
            </w:tcMar>
            <w:vAlign w:val="center"/>
          </w:tcPr>
          <w:p>
            <w:pPr>
              <w:pStyle w:val="TableContents"/>
              <w:bidi w:val="0"/>
              <w:spacing w:before="0" w:after="283"/>
              <w:jc w:val="center"/>
              <w:rPr/>
            </w:pPr>
            <w:r>
              <w:rPr/>
              <w:t>Q1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5" w:type="dxa"/>
            <w:tcBorders/>
            <w:shd w:fill="FFFFFF" w:val="clear"/>
            <w:tcMar>
              <w:bottom w:w="0" w:type="dxa"/>
            </w:tcMar>
            <w:vAlign w:val="center"/>
          </w:tcPr>
          <w:p>
            <w:pPr>
              <w:pStyle w:val="TableContents"/>
              <w:bidi w:val="0"/>
              <w:spacing w:before="0" w:after="283"/>
              <w:jc w:val="center"/>
              <w:rPr/>
            </w:pPr>
            <w:r>
              <w:rPr/>
              <w:t>100% signed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80"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1" w:type="dxa"/>
            <w:tcBorders/>
            <w:shd w:fill="FFFFFF" w:val="clear"/>
            <w:tcMar>
              <w:bottom w:w="0" w:type="dxa"/>
            </w:tcMar>
            <w:vAlign w:val="center"/>
          </w:tcPr>
          <w:p>
            <w:pPr>
              <w:pStyle w:val="TableContents"/>
              <w:bidi w:val="0"/>
              <w:spacing w:before="0" w:after="283"/>
              <w:jc w:val="center"/>
              <w:rPr/>
            </w:pPr>
            <w:r>
              <w:rPr/>
              <w:t>Signed</w:t>
            </w:r>
          </w:p>
        </w:tc>
      </w:tr>
      <w:tr>
        <w:trPr/>
        <w:tc>
          <w:tcPr>
            <w:tcW w:w="953" w:type="dxa"/>
            <w:tcBorders/>
            <w:shd w:fill="CCEEFF" w:val="clear"/>
            <w:tcMar>
              <w:bottom w:w="0" w:type="dxa"/>
            </w:tcMar>
            <w:vAlign w:val="center"/>
          </w:tcPr>
          <w:p>
            <w:pPr>
              <w:pStyle w:val="TableContents"/>
              <w:bidi w:val="0"/>
              <w:spacing w:before="0" w:after="283"/>
              <w:jc w:val="center"/>
              <w:rPr>
                <w:b/>
              </w:rPr>
            </w:pPr>
            <w:r>
              <w:rPr>
                <w:b/>
              </w:rPr>
              <w:t>A103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6"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0" w:type="dxa"/>
            <w:tcBorders/>
            <w:shd w:fill="CCEEFF" w:val="clear"/>
            <w:tcMar>
              <w:bottom w:w="0" w:type="dxa"/>
            </w:tcMar>
            <w:vAlign w:val="center"/>
          </w:tcPr>
          <w:p>
            <w:pPr>
              <w:pStyle w:val="TableContents"/>
              <w:bidi w:val="0"/>
              <w:spacing w:before="0" w:after="283"/>
              <w:jc w:val="center"/>
              <w:rPr/>
            </w:pPr>
            <w:r>
              <w:rPr/>
              <w:t>60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48" w:type="dxa"/>
            <w:tcBorders/>
            <w:shd w:fill="CCEEFF" w:val="clear"/>
            <w:tcMar>
              <w:bottom w:w="0" w:type="dxa"/>
            </w:tcMar>
            <w:vAlign w:val="center"/>
          </w:tcPr>
          <w:p>
            <w:pPr>
              <w:pStyle w:val="TableContents"/>
              <w:bidi w:val="0"/>
              <w:spacing w:before="0" w:after="283"/>
              <w:jc w:val="center"/>
              <w:rPr/>
            </w:pPr>
            <w:r>
              <w:rPr/>
              <w:t>Vera Rubin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2" w:type="dxa"/>
            <w:tcBorders/>
            <w:shd w:fill="CCEEFF" w:val="clear"/>
            <w:tcMar>
              <w:bottom w:w="0" w:type="dxa"/>
            </w:tcMar>
            <w:vAlign w:val="center"/>
          </w:tcPr>
          <w:p>
            <w:pPr>
              <w:pStyle w:val="TableContents"/>
              <w:bidi w:val="0"/>
              <w:spacing w:before="0" w:after="283"/>
              <w:jc w:val="center"/>
              <w:rPr/>
            </w:pPr>
            <w:r>
              <w:rPr/>
              <w:t>Q1 2028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8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1" w:type="dxa"/>
            <w:tcBorders/>
            <w:shd w:fill="CCEEFF" w:val="clear"/>
            <w:tcMar>
              <w:bottom w:w="0" w:type="dxa"/>
            </w:tcMar>
            <w:vAlign w:val="center"/>
          </w:tcPr>
          <w:p>
            <w:pPr>
              <w:pStyle w:val="TableContents"/>
              <w:bidi w:val="0"/>
              <w:spacing w:before="0" w:after="283"/>
              <w:jc w:val="center"/>
              <w:rPr/>
            </w:pPr>
            <w:r>
              <w:rPr/>
              <w:t>Signed</w:t>
            </w:r>
          </w:p>
        </w:tc>
      </w:tr>
      <w:tr>
        <w:trPr/>
        <w:tc>
          <w:tcPr>
            <w:tcW w:w="953" w:type="dxa"/>
            <w:tcBorders/>
            <w:shd w:fill="FFFFFF" w:val="clear"/>
            <w:tcMar>
              <w:bottom w:w="0" w:type="dxa"/>
            </w:tcMar>
            <w:vAlign w:val="center"/>
          </w:tcPr>
          <w:p>
            <w:pPr>
              <w:pStyle w:val="TableContents"/>
              <w:bidi w:val="0"/>
              <w:spacing w:before="0" w:after="283"/>
              <w:jc w:val="center"/>
              <w:rPr>
                <w:b/>
              </w:rPr>
            </w:pPr>
            <w:r>
              <w:rPr>
                <w:b/>
              </w:rPr>
              <w:t>A201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6" w:type="dxa"/>
            <w:tcBorders/>
            <w:shd w:fill="FFFFFF" w:val="clear"/>
            <w:tcMar>
              <w:bottom w:w="0" w:type="dxa"/>
            </w:tcMar>
            <w:vAlign w:val="center"/>
          </w:tcPr>
          <w:p>
            <w:pPr>
              <w:pStyle w:val="TableContents"/>
              <w:bidi w:val="0"/>
              <w:spacing w:before="0" w:after="283"/>
              <w:jc w:val="center"/>
              <w:rPr/>
            </w:pPr>
            <w:r>
              <w:rPr/>
              <w:t>Malaysia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0" w:type="dxa"/>
            <w:tcBorders/>
            <w:shd w:fill="FFFFFF" w:val="clear"/>
            <w:tcMar>
              <w:bottom w:w="0" w:type="dxa"/>
            </w:tcMar>
            <w:vAlign w:val="center"/>
          </w:tcPr>
          <w:p>
            <w:pPr>
              <w:pStyle w:val="TableContents"/>
              <w:bidi w:val="0"/>
              <w:spacing w:before="0" w:after="283"/>
              <w:jc w:val="center"/>
              <w:rPr/>
            </w:pPr>
            <w:r>
              <w:rPr/>
              <w:t>21.7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8" w:type="dxa"/>
            <w:tcBorders/>
            <w:shd w:fill="FFFFFF" w:val="clear"/>
            <w:tcMar>
              <w:bottom w:w="0" w:type="dxa"/>
            </w:tcMar>
            <w:vAlign w:val="center"/>
          </w:tcPr>
          <w:p>
            <w:pPr>
              <w:pStyle w:val="TableContents"/>
              <w:bidi w:val="0"/>
              <w:spacing w:before="0" w:after="283"/>
              <w:jc w:val="center"/>
              <w:rPr/>
            </w:pPr>
            <w:r>
              <w:rPr/>
              <w:t>GB300 and Vera Rubin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72" w:type="dxa"/>
            <w:tcBorders/>
            <w:shd w:fill="FFFFFF" w:val="clear"/>
            <w:tcMar>
              <w:bottom w:w="0" w:type="dxa"/>
            </w:tcMar>
            <w:vAlign w:val="center"/>
          </w:tcPr>
          <w:p>
            <w:pPr>
              <w:pStyle w:val="TableContents"/>
              <w:bidi w:val="0"/>
              <w:spacing w:before="0" w:after="283"/>
              <w:jc w:val="center"/>
              <w:rPr/>
            </w:pPr>
            <w:r>
              <w:rPr/>
              <w:t>Jan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5" w:type="dxa"/>
            <w:tcBorders/>
            <w:shd w:fill="FFFFFF" w:val="clear"/>
            <w:tcMar>
              <w:bottom w:w="0" w:type="dxa"/>
            </w:tcMar>
            <w:vAlign w:val="center"/>
          </w:tcPr>
          <w:p>
            <w:pPr>
              <w:pStyle w:val="TableContents"/>
              <w:bidi w:val="0"/>
              <w:spacing w:before="0" w:after="283"/>
              <w:jc w:val="center"/>
              <w:rPr/>
            </w:pPr>
            <w:r>
              <w:rPr/>
              <w:t>Over 70% signed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80" w:type="dxa"/>
            <w:tcBorders/>
            <w:shd w:fill="FFFFFF" w:val="clear"/>
            <w:tcMar>
              <w:bottom w:w="0" w:type="dxa"/>
            </w:tcMar>
            <w:vAlign w:val="center"/>
          </w:tcPr>
          <w:p>
            <w:pPr>
              <w:pStyle w:val="TableContents"/>
              <w:bidi w:val="0"/>
              <w:spacing w:before="0" w:after="283"/>
              <w:jc w:val="center"/>
              <w:rPr/>
            </w:pPr>
            <w:r>
              <w:rPr/>
              <w:t>Over 70%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1" w:type="dxa"/>
            <w:tcBorders/>
            <w:shd w:fill="FFFFFF" w:val="clear"/>
            <w:tcMar>
              <w:bottom w:w="0" w:type="dxa"/>
            </w:tcMar>
            <w:vAlign w:val="center"/>
          </w:tcPr>
          <w:p>
            <w:pPr>
              <w:pStyle w:val="TableContents"/>
              <w:bidi w:val="0"/>
              <w:spacing w:before="0" w:after="283"/>
              <w:jc w:val="center"/>
              <w:rPr/>
            </w:pPr>
            <w:r>
              <w:rPr/>
              <w:t>Signed</w:t>
            </w:r>
          </w:p>
        </w:tc>
      </w:tr>
      <w:tr>
        <w:trPr/>
        <w:tc>
          <w:tcPr>
            <w:tcW w:w="953" w:type="dxa"/>
            <w:tcBorders/>
            <w:shd w:fill="CCEEFF" w:val="clear"/>
            <w:tcMar>
              <w:bottom w:w="0" w:type="dxa"/>
            </w:tcMar>
            <w:vAlign w:val="center"/>
          </w:tcPr>
          <w:p>
            <w:pPr>
              <w:pStyle w:val="TableContents"/>
              <w:bidi w:val="0"/>
              <w:spacing w:before="0" w:after="283"/>
              <w:jc w:val="center"/>
              <w:rPr>
                <w:b/>
              </w:rPr>
            </w:pPr>
            <w:r>
              <w:rPr>
                <w:b/>
              </w:rPr>
              <w:t>A202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6"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0" w:type="dxa"/>
            <w:tcBorders/>
            <w:shd w:fill="CCEEFF" w:val="clear"/>
            <w:tcMar>
              <w:bottom w:w="0" w:type="dxa"/>
            </w:tcMar>
            <w:vAlign w:val="center"/>
          </w:tcPr>
          <w:p>
            <w:pPr>
              <w:pStyle w:val="TableContents"/>
              <w:bidi w:val="0"/>
              <w:spacing w:before="0" w:after="283"/>
              <w:jc w:val="center"/>
              <w:rPr/>
            </w:pPr>
            <w:r>
              <w:rPr/>
              <w:t>65.1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48" w:type="dxa"/>
            <w:tcBorders/>
            <w:shd w:fill="CCEEFF" w:val="clear"/>
            <w:tcMar>
              <w:bottom w:w="0" w:type="dxa"/>
            </w:tcMar>
            <w:vAlign w:val="center"/>
          </w:tcPr>
          <w:p>
            <w:pPr>
              <w:pStyle w:val="TableContents"/>
              <w:bidi w:val="0"/>
              <w:spacing w:before="0" w:after="283"/>
              <w:jc w:val="center"/>
              <w:rPr/>
            </w:pPr>
            <w:r>
              <w:rPr/>
              <w:t>GB300 and/or Vera Rubin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2" w:type="dxa"/>
            <w:tcBorders/>
            <w:shd w:fill="CCEEFF" w:val="clear"/>
            <w:tcMar>
              <w:bottom w:w="0" w:type="dxa"/>
            </w:tcMar>
            <w:vAlign w:val="center"/>
          </w:tcPr>
          <w:p>
            <w:pPr>
              <w:pStyle w:val="TableContents"/>
              <w:bidi w:val="0"/>
              <w:spacing w:before="0" w:after="283"/>
              <w:jc w:val="center"/>
              <w:rPr/>
            </w:pPr>
            <w:r>
              <w:rPr/>
              <w:t>Q3 2027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8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1" w:type="dxa"/>
            <w:tcBorders/>
            <w:shd w:fill="CCEEFF" w:val="clear"/>
            <w:tcMar>
              <w:bottom w:w="0" w:type="dxa"/>
            </w:tcMar>
            <w:vAlign w:val="center"/>
          </w:tcPr>
          <w:p>
            <w:pPr>
              <w:pStyle w:val="TableContents"/>
              <w:bidi w:val="0"/>
              <w:spacing w:before="0" w:after="283"/>
              <w:jc w:val="center"/>
              <w:rPr/>
            </w:pPr>
            <w:r>
              <w:rPr/>
              <w:t>Signed</w:t>
            </w:r>
          </w:p>
        </w:tc>
      </w:tr>
      <w:tr>
        <w:trPr/>
        <w:tc>
          <w:tcPr>
            <w:tcW w:w="953" w:type="dxa"/>
            <w:tcBorders/>
            <w:shd w:fill="FFFFFF" w:val="clear"/>
            <w:tcMar>
              <w:bottom w:w="0" w:type="dxa"/>
            </w:tcMar>
            <w:vAlign w:val="center"/>
          </w:tcPr>
          <w:p>
            <w:pPr>
              <w:pStyle w:val="TableContents"/>
              <w:bidi w:val="0"/>
              <w:spacing w:before="0" w:after="283"/>
              <w:jc w:val="center"/>
              <w:rPr>
                <w:b/>
              </w:rPr>
            </w:pPr>
            <w:r>
              <w:rPr>
                <w:b/>
              </w:rPr>
              <w:t>A401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6" w:type="dxa"/>
            <w:tcBorders/>
            <w:shd w:fill="FFFFFF" w:val="clear"/>
            <w:tcMar>
              <w:bottom w:w="0" w:type="dxa"/>
            </w:tcMar>
            <w:vAlign w:val="center"/>
          </w:tcPr>
          <w:p>
            <w:pPr>
              <w:pStyle w:val="TableContents"/>
              <w:bidi w:val="0"/>
              <w:spacing w:before="0" w:after="283"/>
              <w:jc w:val="center"/>
              <w:rPr/>
            </w:pPr>
            <w:r>
              <w:rPr/>
              <w:t>Norway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0" w:type="dxa"/>
            <w:tcBorders/>
            <w:shd w:fill="FFFFFF" w:val="clear"/>
            <w:tcMar>
              <w:bottom w:w="0" w:type="dxa"/>
            </w:tcMar>
            <w:vAlign w:val="center"/>
          </w:tcPr>
          <w:p>
            <w:pPr>
              <w:pStyle w:val="TableContents"/>
              <w:bidi w:val="0"/>
              <w:spacing w:before="0" w:after="283"/>
              <w:jc w:val="center"/>
              <w:rPr/>
            </w:pPr>
            <w:r>
              <w:rPr/>
              <w:t>42.7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8" w:type="dxa"/>
            <w:tcBorders/>
            <w:shd w:fill="FFFFFF" w:val="clear"/>
            <w:tcMar>
              <w:bottom w:w="0" w:type="dxa"/>
            </w:tcMar>
            <w:vAlign w:val="center"/>
          </w:tcPr>
          <w:p>
            <w:pPr>
              <w:pStyle w:val="TableContents"/>
              <w:bidi w:val="0"/>
              <w:spacing w:before="0" w:after="283"/>
              <w:jc w:val="center"/>
              <w:rPr/>
            </w:pPr>
            <w:r>
              <w:rPr/>
              <w:t>Vera Rubin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72" w:type="dxa"/>
            <w:tcBorders/>
            <w:shd w:fill="FFFFFF" w:val="clear"/>
            <w:tcMar>
              <w:bottom w:w="0" w:type="dxa"/>
            </w:tcMar>
            <w:vAlign w:val="center"/>
          </w:tcPr>
          <w:p>
            <w:pPr>
              <w:pStyle w:val="TableContents"/>
              <w:bidi w:val="0"/>
              <w:spacing w:before="0" w:after="283"/>
              <w:jc w:val="center"/>
              <w:rPr/>
            </w:pPr>
            <w:r>
              <w:rPr/>
              <w:t>2H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1" w:type="dxa"/>
            <w:tcBorders/>
            <w:shd w:fill="FFFFFF" w:val="clear"/>
            <w:tcMar>
              <w:bottom w:w="0" w:type="dxa"/>
            </w:tcMar>
            <w:vAlign w:val="center"/>
          </w:tcPr>
          <w:p>
            <w:pPr>
              <w:pStyle w:val="TableContents"/>
              <w:bidi w:val="0"/>
              <w:spacing w:before="0" w:after="283"/>
              <w:jc w:val="center"/>
              <w:rPr/>
            </w:pPr>
            <w:r>
              <w:rPr/>
              <w:t>Self-Owned</w:t>
            </w:r>
          </w:p>
        </w:tc>
      </w:tr>
      <w:tr>
        <w:trPr/>
        <w:tc>
          <w:tcPr>
            <w:tcW w:w="953" w:type="dxa"/>
            <w:tcBorders/>
            <w:shd w:fill="CCEEFF" w:val="clear"/>
            <w:tcMar>
              <w:bottom w:w="0" w:type="dxa"/>
            </w:tcMar>
            <w:vAlign w:val="center"/>
          </w:tcPr>
          <w:p>
            <w:pPr>
              <w:pStyle w:val="TableContents"/>
              <w:bidi w:val="0"/>
              <w:spacing w:before="0" w:after="283"/>
              <w:jc w:val="center"/>
              <w:rPr>
                <w:b/>
              </w:rPr>
            </w:pPr>
            <w:r>
              <w:rPr>
                <w:b/>
              </w:rPr>
              <w:t>A501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6" w:type="dxa"/>
            <w:tcBorders/>
            <w:shd w:fill="CCEEFF" w:val="clear"/>
            <w:tcMar>
              <w:bottom w:w="0" w:type="dxa"/>
            </w:tcMar>
            <w:vAlign w:val="center"/>
          </w:tcPr>
          <w:p>
            <w:pPr>
              <w:pStyle w:val="TableContents"/>
              <w:bidi w:val="0"/>
              <w:spacing w:before="0" w:after="283"/>
              <w:jc w:val="center"/>
              <w:rPr/>
            </w:pPr>
            <w:r>
              <w:rPr/>
              <w:t>WA, USA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0" w:type="dxa"/>
            <w:tcBorders/>
            <w:shd w:fill="CCEEFF" w:val="clear"/>
            <w:tcMar>
              <w:bottom w:w="0" w:type="dxa"/>
            </w:tcMar>
            <w:vAlign w:val="center"/>
          </w:tcPr>
          <w:p>
            <w:pPr>
              <w:pStyle w:val="TableContents"/>
              <w:bidi w:val="0"/>
              <w:spacing w:before="0" w:after="283"/>
              <w:jc w:val="center"/>
              <w:rPr/>
            </w:pPr>
            <w:r>
              <w:rPr/>
              <w:t>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48" w:type="dxa"/>
            <w:tcBorders/>
            <w:shd w:fill="CCEEFF" w:val="clear"/>
            <w:tcMar>
              <w:bottom w:w="0" w:type="dxa"/>
            </w:tcMar>
            <w:vAlign w:val="center"/>
          </w:tcPr>
          <w:p>
            <w:pPr>
              <w:pStyle w:val="TableContents"/>
              <w:bidi w:val="0"/>
              <w:spacing w:before="0" w:after="283"/>
              <w:jc w:val="center"/>
              <w:rPr/>
            </w:pPr>
            <w:r>
              <w:rPr/>
              <w:t>Vera Rubin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2" w:type="dxa"/>
            <w:tcBorders/>
            <w:shd w:fill="CCEEFF" w:val="clear"/>
            <w:tcMar>
              <w:bottom w:w="0" w:type="dxa"/>
            </w:tcMar>
            <w:vAlign w:val="center"/>
          </w:tcPr>
          <w:p>
            <w:pPr>
              <w:pStyle w:val="TableContents"/>
              <w:bidi w:val="0"/>
              <w:spacing w:before="0" w:after="283"/>
              <w:jc w:val="center"/>
              <w:rPr/>
            </w:pPr>
            <w:r>
              <w:rPr/>
              <w:t>Dec 2027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8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1" w:type="dxa"/>
            <w:tcBorders/>
            <w:shd w:fill="CCEEFF" w:val="clear"/>
            <w:tcMar>
              <w:bottom w:w="0" w:type="dxa"/>
            </w:tcMar>
            <w:vAlign w:val="center"/>
          </w:tcPr>
          <w:p>
            <w:pPr>
              <w:pStyle w:val="TableContents"/>
              <w:bidi w:val="0"/>
              <w:spacing w:before="0" w:after="283"/>
              <w:jc w:val="center"/>
              <w:rPr/>
            </w:pPr>
            <w:r>
              <w:rPr/>
              <w:t>Self-Owned</w:t>
            </w:r>
          </w:p>
        </w:tc>
      </w:tr>
      <w:tr>
        <w:trPr/>
        <w:tc>
          <w:tcPr>
            <w:tcW w:w="953" w:type="dxa"/>
            <w:tcBorders/>
            <w:shd w:fill="FFFFFF" w:val="clear"/>
            <w:tcMar>
              <w:bottom w:w="0" w:type="dxa"/>
            </w:tcMar>
            <w:vAlign w:val="center"/>
          </w:tcPr>
          <w:p>
            <w:pPr>
              <w:pStyle w:val="TableContents"/>
              <w:bidi w:val="0"/>
              <w:spacing w:before="0" w:after="283"/>
              <w:jc w:val="center"/>
              <w:rPr>
                <w:b/>
              </w:rPr>
            </w:pPr>
            <w:r>
              <w:rPr>
                <w:b/>
              </w:rPr>
              <w:t>A601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6" w:type="dxa"/>
            <w:tcBorders/>
            <w:shd w:fill="FFFFFF" w:val="clear"/>
            <w:tcMar>
              <w:bottom w:w="0" w:type="dxa"/>
            </w:tcMar>
            <w:vAlign w:val="center"/>
          </w:tcPr>
          <w:p>
            <w:pPr>
              <w:pStyle w:val="TableContents"/>
              <w:bidi w:val="0"/>
              <w:spacing w:before="0" w:after="283"/>
              <w:jc w:val="center"/>
              <w:rPr/>
            </w:pPr>
            <w:r>
              <w:rPr/>
              <w:t>TN, USA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0" w:type="dxa"/>
            <w:tcBorders/>
            <w:shd w:fill="FFFFFF" w:val="clear"/>
            <w:tcMar>
              <w:bottom w:w="0" w:type="dxa"/>
            </w:tcMar>
            <w:vAlign w:val="center"/>
          </w:tcPr>
          <w:p>
            <w:pPr>
              <w:pStyle w:val="TableContents"/>
              <w:bidi w:val="0"/>
              <w:spacing w:before="0" w:after="283"/>
              <w:jc w:val="center"/>
              <w:rPr/>
            </w:pPr>
            <w:r>
              <w:rPr/>
              <w:t>55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8" w:type="dxa"/>
            <w:tcBorders/>
            <w:shd w:fill="FFFFFF" w:val="clear"/>
            <w:tcMar>
              <w:bottom w:w="0" w:type="dxa"/>
            </w:tcMar>
            <w:vAlign w:val="center"/>
          </w:tcPr>
          <w:p>
            <w:pPr>
              <w:pStyle w:val="TableContents"/>
              <w:bidi w:val="0"/>
              <w:spacing w:before="0" w:after="283"/>
              <w:jc w:val="center"/>
              <w:rPr/>
            </w:pPr>
            <w:r>
              <w:rPr/>
              <w:t>Vera Rubin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72" w:type="dxa"/>
            <w:tcBorders/>
            <w:shd w:fill="FFFFFF" w:val="clear"/>
            <w:tcMar>
              <w:bottom w:w="0" w:type="dxa"/>
            </w:tcMar>
            <w:vAlign w:val="center"/>
          </w:tcPr>
          <w:p>
            <w:pPr>
              <w:pStyle w:val="TableContents"/>
              <w:bidi w:val="0"/>
              <w:spacing w:before="0" w:after="283"/>
              <w:jc w:val="center"/>
              <w:rPr/>
            </w:pPr>
            <w:r>
              <w:rPr/>
              <w:t>Oct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1" w:type="dxa"/>
            <w:tcBorders/>
            <w:shd w:fill="FFFFFF" w:val="clear"/>
            <w:tcMar>
              <w:bottom w:w="0" w:type="dxa"/>
            </w:tcMar>
            <w:vAlign w:val="center"/>
          </w:tcPr>
          <w:p>
            <w:pPr>
              <w:pStyle w:val="TableContents"/>
              <w:bidi w:val="0"/>
              <w:spacing w:before="0" w:after="283"/>
              <w:jc w:val="center"/>
              <w:rPr/>
            </w:pPr>
            <w:r>
              <w:rPr/>
              <w:t>Self-Owned</w:t>
            </w:r>
          </w:p>
        </w:tc>
      </w:tr>
      <w:tr>
        <w:trPr/>
        <w:tc>
          <w:tcPr>
            <w:tcW w:w="953" w:type="dxa"/>
            <w:tcBorders/>
            <w:shd w:fill="CCEEFF" w:val="clear"/>
            <w:tcMar>
              <w:bottom w:w="0" w:type="dxa"/>
            </w:tcMar>
            <w:vAlign w:val="center"/>
          </w:tcPr>
          <w:p>
            <w:pPr>
              <w:pStyle w:val="TableContents"/>
              <w:bidi w:val="0"/>
              <w:spacing w:before="0" w:after="283"/>
              <w:jc w:val="center"/>
              <w:rPr>
                <w:b/>
              </w:rPr>
            </w:pPr>
            <w:r>
              <w:rPr>
                <w:b/>
              </w:rPr>
              <w:t>A901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6"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0" w:type="dxa"/>
            <w:tcBorders/>
            <w:shd w:fill="CCEEFF" w:val="clear"/>
            <w:tcMar>
              <w:bottom w:w="0" w:type="dxa"/>
            </w:tcMar>
            <w:vAlign w:val="center"/>
          </w:tcPr>
          <w:p>
            <w:pPr>
              <w:pStyle w:val="TableContents"/>
              <w:bidi w:val="0"/>
              <w:spacing w:before="0" w:after="283"/>
              <w:jc w:val="center"/>
              <w:rPr/>
            </w:pPr>
            <w:r>
              <w:rPr/>
              <w:t>67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48" w:type="dxa"/>
            <w:tcBorders/>
            <w:shd w:fill="CCEEFF" w:val="clear"/>
            <w:tcMar>
              <w:bottom w:w="0" w:type="dxa"/>
            </w:tcMar>
            <w:vAlign w:val="center"/>
          </w:tcPr>
          <w:p>
            <w:pPr>
              <w:pStyle w:val="TableContents"/>
              <w:bidi w:val="0"/>
              <w:spacing w:before="0" w:after="283"/>
              <w:jc w:val="center"/>
              <w:rPr/>
            </w:pPr>
            <w:r>
              <w:rPr/>
              <w:t>GB300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2" w:type="dxa"/>
            <w:tcBorders/>
            <w:shd w:fill="CCEEFF" w:val="clear"/>
            <w:tcMar>
              <w:bottom w:w="0" w:type="dxa"/>
            </w:tcMar>
            <w:vAlign w:val="center"/>
          </w:tcPr>
          <w:p>
            <w:pPr>
              <w:pStyle w:val="TableContents"/>
              <w:bidi w:val="0"/>
              <w:spacing w:before="0" w:after="283"/>
              <w:jc w:val="center"/>
              <w:rPr/>
            </w:pPr>
            <w:r>
              <w:rPr/>
              <w:t>Q2 2027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8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1" w:type="dxa"/>
            <w:tcBorders/>
            <w:shd w:fill="CCEEFF" w:val="clear"/>
            <w:tcMar>
              <w:bottom w:w="0" w:type="dxa"/>
            </w:tcMar>
            <w:vAlign w:val="center"/>
          </w:tcPr>
          <w:p>
            <w:pPr>
              <w:pStyle w:val="TableContents"/>
              <w:bidi w:val="0"/>
              <w:spacing w:before="0" w:after="283"/>
              <w:jc w:val="center"/>
              <w:rPr/>
            </w:pPr>
            <w:r>
              <w:rPr/>
              <w:t>Signed</w:t>
            </w:r>
          </w:p>
        </w:tc>
      </w:tr>
      <w:tr>
        <w:trPr/>
        <w:tc>
          <w:tcPr>
            <w:tcW w:w="953"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tcBorders/>
            <w:shd w:fill="FFFFFF" w:val="clear"/>
            <w:tcMar>
              <w:bottom w:w="0" w:type="dxa"/>
            </w:tcMar>
            <w:vAlign w:val="center"/>
          </w:tcPr>
          <w:p>
            <w:pPr>
              <w:pStyle w:val="TableContents"/>
              <w:bidi w:val="0"/>
              <w:spacing w:before="0" w:after="283"/>
              <w:jc w:val="center"/>
              <w:rPr>
                <w:b/>
              </w:rPr>
            </w:pPr>
            <w:r>
              <w:rPr>
                <w:b/>
              </w:rPr>
              <w:t>333.5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1"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Capacity Expansion in Malaysia: </w:t>
            </w:r>
            <w:r>
              <w:rPr>
                <w:rFonts w:ascii="Times New Roman;Times;Serif" w:hAnsi="Times New Roman;Times;Serif"/>
                <w:b w:val="false"/>
                <w:i w:val="false"/>
                <w:caps w:val="false"/>
                <w:smallCaps w:val="false"/>
                <w:sz w:val="20"/>
              </w:rPr>
              <w:t>Bitdeer AI recently announced data services agreements securing 67MW of capacity at A901 data center with full delivery planned for Q2 2027 and an additional 60MW of capacity at A103 data center with delivery planned for Q1 2028.</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Contracting of A201 Facility in Malaysia: </w:t>
            </w:r>
            <w:r>
              <w:rPr>
                <w:rFonts w:ascii="Times New Roman;Times;Serif" w:hAnsi="Times New Roman;Times;Serif"/>
                <w:b w:val="false"/>
                <w:i w:val="false"/>
                <w:caps w:val="false"/>
                <w:smallCaps w:val="false"/>
                <w:sz w:val="20"/>
              </w:rPr>
              <w:t>Bitdeer AI announced offtake commitments covering more than 70% of our ~21.7MW A201 data center in Johor Bahru, generating &gt;$1.7 billion in expected revenue over 5 years and boosting total AI Cloud revenue backlog to ~$2.9 billion. The liquid-cooled facility supports NVIDIA GB300 NVL72 systems and next-generation Vera Rubin architectures. Over 100 GB300 NVL72 racks were procured ahead of energization, with full deployment and go-live targeted for April 2027.</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NVIDIA Collaboration on Agent Safety: </w:t>
            </w:r>
            <w:r>
              <w:rPr>
                <w:rFonts w:ascii="Times New Roman;Times;Serif" w:hAnsi="Times New Roman;Times;Serif"/>
                <w:b w:val="false"/>
                <w:i w:val="false"/>
                <w:caps w:val="false"/>
                <w:smallCaps w:val="false"/>
                <w:sz w:val="20"/>
              </w:rPr>
              <w:t>Bitdeer AI announced collaboration with NVIDIA on the NVIDIA Open Agent Safety Platform, which combines NVIDIA OpenShell software controls and the NVIDIA Sentry reference system design. The collaboration focuses on infrastructure-level policy enforcement, sandboxing and auditability for enterprise AI agents. We plan to integrate NVIDIA’s AI safety technology stack to strengthen software- and hardware-based protection for production-grade agentic workflows.</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Industry Engagement: </w:t>
            </w:r>
            <w:r>
              <w:rPr>
                <w:rFonts w:ascii="Times New Roman;Times;Serif" w:hAnsi="Times New Roman;Times;Serif"/>
                <w:b w:val="false"/>
                <w:i w:val="false"/>
                <w:caps w:val="false"/>
                <w:smallCaps w:val="false"/>
                <w:sz w:val="20"/>
              </w:rPr>
              <w:t>Bitdeer AI enhanced its global market presence by sponsoring AI Infra Summit 2026 (Santa Clara), serving as Gold Sponsor at Tech Week Singapore, and participating in the World AI Show Malaysia. To foster ecosystem adoption and showcase its full-stack AI cloud capabilities, the team also took part in the NVIDIA Inception Grand Challenge and hosted two hands-on community workshops.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 Mining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 Mining, R&amp;D, Manufacturing: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Mined 1,355 Bitcoins</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an increase of 200% Y/Y; we continue to expect momentum in our mining results over the coming months.</w:t>
            </w:r>
          </w:p>
        </w:tc>
      </w:tr>
    </w:tbl>
    <w:p>
      <w:pPr>
        <w:pStyle w:val="TextBody"/>
        <w:bidi w:val="0"/>
        <w:spacing w:before="0" w:after="0"/>
        <w:ind w:left="720" w:right="0" w:hanging="36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Self-mining hash rate reached ~82.3 EH/s. </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Co-mining hashrate of 28.7 EH/s driven by Co-Mining collaboration, using Bitdeer’s mining rigs operated by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party datacenters.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Crypto Metrics: </w:t>
      </w:r>
    </w:p>
    <w:p>
      <w:pPr>
        <w:pStyle w:val="TextBody"/>
        <w:bidi w:val="0"/>
        <w:spacing w:before="0" w:after="0"/>
        <w:ind w:left="0" w:right="0" w:hanging="0"/>
        <w:jc w:val="both"/>
        <w:rPr>
          <w:caps w:val="false"/>
          <w:smallCaps w:val="false"/>
        </w:rPr>
      </w:pPr>
      <w:r>
        <w:rPr>
          <w:caps w:val="false"/>
          <w:smallCaps w:val="false"/>
        </w:rPr>
        <w:t> </w:t>
      </w:r>
    </w:p>
    <w:tbl>
      <w:tblPr>
        <w:tblW w:w="8075" w:type="dxa"/>
        <w:jc w:val="left"/>
        <w:tblInd w:w="0" w:type="dxa"/>
        <w:tblLayout w:type="fixed"/>
        <w:tblCellMar>
          <w:top w:w="0" w:type="dxa"/>
          <w:left w:w="0" w:type="dxa"/>
          <w:bottom w:w="28" w:type="dxa"/>
          <w:right w:w="0" w:type="dxa"/>
        </w:tblCellMar>
      </w:tblPr>
      <w:tblGrid>
        <w:gridCol w:w="4715"/>
        <w:gridCol w:w="60"/>
        <w:gridCol w:w="107"/>
        <w:gridCol w:w="1008"/>
        <w:gridCol w:w="60"/>
        <w:gridCol w:w="60"/>
        <w:gridCol w:w="73"/>
        <w:gridCol w:w="682"/>
        <w:gridCol w:w="60"/>
        <w:gridCol w:w="60"/>
        <w:gridCol w:w="107"/>
        <w:gridCol w:w="1008"/>
        <w:gridCol w:w="75"/>
      </w:tblGrid>
      <w:tr>
        <w:trPr/>
        <w:tc>
          <w:tcPr>
            <w:tcW w:w="4715" w:type="dxa"/>
            <w:tcBorders>
              <w:bottom w:val="single" w:sz="12" w:space="0" w:color="000000"/>
            </w:tcBorders>
            <w:vAlign w:val="center"/>
          </w:tcPr>
          <w:p>
            <w:pPr>
              <w:pStyle w:val="TableContents"/>
              <w:bidi w:val="0"/>
              <w:spacing w:before="0" w:after="283"/>
              <w:jc w:val="both"/>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September</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center"/>
              <w:rPr>
                <w:b/>
              </w:rPr>
            </w:pPr>
            <w:r>
              <w:rPr>
                <w:b/>
              </w:rPr>
              <w:t>August</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September</w:t>
              <w:br/>
              <w:t>2025</w:t>
            </w:r>
          </w:p>
        </w:tc>
        <w:tc>
          <w:tcPr>
            <w:tcW w:w="75" w:type="dxa"/>
            <w:tcBorders/>
            <w:tcMar>
              <w:bottom w:w="0" w:type="dxa"/>
            </w:tcMar>
            <w:vAlign w:val="center"/>
          </w:tcPr>
          <w:p>
            <w:pPr>
              <w:pStyle w:val="TableContents"/>
              <w:bidi w:val="0"/>
              <w:spacing w:before="0" w:after="283"/>
              <w:jc w:val="left"/>
              <w:rPr/>
            </w:pPr>
            <w:r>
              <w:rPr/>
              <w:t> </w:t>
            </w:r>
          </w:p>
        </w:tc>
      </w:tr>
      <w:tr>
        <w:trPr/>
        <w:tc>
          <w:tcPr>
            <w:tcW w:w="8075" w:type="dxa"/>
            <w:gridSpan w:val="13"/>
            <w:tcBorders/>
            <w:tcMar>
              <w:bottom w:w="0" w:type="dxa"/>
            </w:tcMar>
            <w:vAlign w:val="center"/>
          </w:tcPr>
          <w:p>
            <w:pPr>
              <w:pStyle w:val="TableContents"/>
              <w:bidi w:val="0"/>
              <w:spacing w:before="0" w:after="283"/>
              <w:jc w:val="both"/>
              <w:rPr>
                <w:b/>
              </w:rPr>
            </w:pPr>
            <w:r>
              <w:rPr>
                <w:b/>
              </w:rPr>
              <w:t>Hash Rate Metrics:</w:t>
            </w:r>
          </w:p>
        </w:tc>
      </w:tr>
      <w:tr>
        <w:trPr/>
        <w:tc>
          <w:tcPr>
            <w:tcW w:w="4715" w:type="dxa"/>
            <w:tcBorders/>
            <w:shd w:fill="CCEEFF" w:val="clear"/>
            <w:tcMar>
              <w:bottom w:w="0" w:type="dxa"/>
            </w:tcMar>
            <w:vAlign w:val="center"/>
          </w:tcPr>
          <w:p>
            <w:pPr>
              <w:pStyle w:val="TableContents"/>
              <w:bidi w:val="0"/>
              <w:spacing w:before="0" w:after="283"/>
              <w:jc w:val="both"/>
              <w:rPr/>
            </w:pPr>
            <w:r>
              <w:rPr/>
              <w:t>Self-Mining (Operated in self-owned datacenters)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35.0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Proprietary Hash Rate</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pPr>
            <w:r>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FFFFFF" w:val="clear"/>
            <w:vAlign w:val="center"/>
          </w:tcPr>
          <w:p>
            <w:pPr>
              <w:pStyle w:val="TableContents"/>
              <w:bidi w:val="0"/>
              <w:spacing w:before="0" w:after="283"/>
              <w:jc w:val="left"/>
              <w:rPr/>
            </w:pPr>
            <w:r>
              <w:rPr/>
              <w:t> </w:t>
            </w:r>
          </w:p>
        </w:tc>
        <w:tc>
          <w:tcPr>
            <w:tcW w:w="682" w:type="dxa"/>
            <w:tcBorders>
              <w:bottom w:val="single" w:sz="12" w:space="0" w:color="000000"/>
            </w:tcBorders>
            <w:shd w:fill="FFFFFF" w:val="clear"/>
            <w:vAlign w:val="center"/>
          </w:tcPr>
          <w:p>
            <w:pPr>
              <w:pStyle w:val="TableContents"/>
              <w:bidi w:val="0"/>
              <w:spacing w:before="0" w:after="283"/>
              <w:jc w:val="right"/>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Proprietary Hash Rate</w:t>
            </w:r>
            <w:r>
              <w:rPr>
                <w:rFonts w:ascii="Times New Roman;Times;Serif" w:hAnsi="Times New Roman;Times;Serif"/>
                <w:b/>
                <w:position w:val="7"/>
                <w:sz w:val="16"/>
                <w:sz w:val="20"/>
              </w:rPr>
              <w:t>6</w:t>
            </w:r>
            <w:r>
              <w:rPr>
                <w:rFonts w:ascii="Times New Roman;Times;Serif" w:hAnsi="Times New Roman;Times;Serif"/>
                <w:b/>
                <w:sz w:val="20"/>
              </w:rPr>
              <w:t xml:space="preserve"> (EH/s)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b/>
              </w:rPr>
            </w:pPr>
            <w:r>
              <w:rPr>
                <w:b/>
              </w:rPr>
              <w:t>86.4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FFFFFF" w:val="clear"/>
            <w:vAlign w:val="center"/>
          </w:tcPr>
          <w:p>
            <w:pPr>
              <w:pStyle w:val="TableContents"/>
              <w:bidi w:val="0"/>
              <w:spacing w:before="0" w:after="283"/>
              <w:jc w:val="left"/>
              <w:rPr/>
            </w:pPr>
            <w:r>
              <w:rPr/>
              <w:t> </w:t>
            </w:r>
          </w:p>
        </w:tc>
        <w:tc>
          <w:tcPr>
            <w:tcW w:w="682" w:type="dxa"/>
            <w:tcBorders>
              <w:bottom w:val="single" w:sz="12" w:space="0" w:color="000000"/>
            </w:tcBorders>
            <w:shd w:fill="FFFFFF" w:val="clear"/>
            <w:vAlign w:val="center"/>
          </w:tcPr>
          <w:p>
            <w:pPr>
              <w:pStyle w:val="TableContents"/>
              <w:bidi w:val="0"/>
              <w:spacing w:before="0" w:after="283"/>
              <w:jc w:val="right"/>
              <w:rPr>
                <w:b/>
              </w:rPr>
            </w:pPr>
            <w:r>
              <w:rPr>
                <w:b/>
              </w:rPr>
              <w:t>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b/>
              </w:rPr>
            </w:pPr>
            <w:r>
              <w:rPr>
                <w:b/>
              </w:rPr>
              <w:t>35.0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Co-Mining (Operated by 3</w:t>
            </w:r>
            <w:r>
              <w:rPr>
                <w:rFonts w:ascii="Times New Roman;Times;Serif" w:hAnsi="Times New Roman;Times;Serif"/>
                <w:position w:val="7"/>
                <w:sz w:val="16"/>
                <w:sz w:val="20"/>
              </w:rPr>
              <w:t>rd</w:t>
            </w:r>
            <w:r>
              <w:rPr>
                <w:rFonts w:ascii="Times New Roman;Times;Serif" w:hAnsi="Times New Roman;Times;Serif"/>
                <w:sz w:val="20"/>
              </w:rPr>
              <w:t xml:space="preserve"> party datacenters)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28.7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Mined</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1,355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1,310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452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Held</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2,029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Bitdeer will transition its infrastructure updates from a monthly reporting cadence to quarterly disclosures issued concurrently with its financial earnings releases, providing a more meaningful and integrated perspective on the Company’s development progress. The Company’s most recent infrastructure update was disclosed alongside its Q2 2026 financial results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ARR</w:t>
            </w:r>
            <w:r>
              <w:rPr>
                <w:rFonts w:ascii="Times New Roman;Times;Serif" w:hAnsi="Times New Roman;Times;Serif"/>
                <w:sz w:val="20"/>
              </w:rPr>
              <w:t xml:space="preserve"> as of the last day of the respective month is calculated by multiplying the daily revenue generated from all contractually obligated GPU orders on that specific day by 365. This metric provides an annualized view of the revenue run-rate based on active contracts at the end of the reporting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Self-Mining (Operated in self-owned datacenters) </w:t>
            </w:r>
            <w:r>
              <w:rPr>
                <w:rFonts w:ascii="Times New Roman;Times;Serif" w:hAnsi="Times New Roman;Times;Serif"/>
                <w:sz w:val="20"/>
              </w:rPr>
              <w:t>refers to cryptocurrency mining for Bitdeer’s own account, whereby its mining rigs are operated in self-owned datacenters.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Co-mining (Operated by 3</w:t>
            </w:r>
            <w:r>
              <w:rPr>
                <w:rFonts w:ascii="Times New Roman;Times;Serif" w:hAnsi="Times New Roman;Times;Serif"/>
                <w:b/>
                <w:position w:val="7"/>
                <w:sz w:val="16"/>
                <w:sz w:val="20"/>
              </w:rPr>
              <w:t>rd</w:t>
            </w:r>
            <w:r>
              <w:rPr>
                <w:rFonts w:ascii="Times New Roman;Times;Serif" w:hAnsi="Times New Roman;Times;Serif"/>
                <w:b/>
                <w:sz w:val="20"/>
              </w:rPr>
              <w:t xml:space="preserve"> party datacenters) </w:t>
            </w:r>
            <w:r>
              <w:rPr>
                <w:rFonts w:ascii="Times New Roman;Times;Serif" w:hAnsi="Times New Roman;Times;Serif"/>
                <w:sz w:val="20"/>
              </w:rPr>
              <w:t>refers to cryptocurrency mining for Bitdeer’s own account, whereby its mining rigs are operated by third-party datacenters.</w:t>
            </w:r>
          </w:p>
        </w:tc>
      </w:tr>
    </w:tbl>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1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BTC from self-mining operations and BTC from co-mining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Other Proprietary Hash Rate </w:t>
            </w:r>
            <w:r>
              <w:rPr>
                <w:rFonts w:ascii="Times New Roman;Times;Serif" w:hAnsi="Times New Roman;Times;Serif"/>
                <w:sz w:val="20"/>
              </w:rPr>
              <w:t>includes the hashrate from Bitdeer’s cloud hashrate business, mining rigs delivered in the crypto mining datacenters but not deployed and the mining rigs temporarily offline due to limited economic benefit.</w:t>
            </w:r>
          </w:p>
        </w:tc>
      </w:tr>
    </w:tbl>
    <w:p>
      <w:pPr>
        <w:pStyle w:val="TextBody"/>
        <w:bidi w:val="0"/>
        <w:spacing w:before="0" w:after="0"/>
        <w:ind w:left="0" w:right="0" w:hanging="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11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Total Proprietary Hash Rate </w:t>
            </w:r>
            <w:r>
              <w:rPr>
                <w:rFonts w:ascii="Times New Roman;Times;Serif" w:hAnsi="Times New Roman;Times;Serif"/>
                <w:sz w:val="20"/>
              </w:rPr>
              <w:t>as of September 30, 2026 includes Self-Mining Hash Rate and Other Proprietary Hash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Bitcoins held </w:t>
            </w:r>
            <w:r>
              <w:rPr>
                <w:rFonts w:ascii="Times New Roman;Times;Serif" w:hAnsi="Times New Roman;Times;Serif"/>
                <w:sz w:val="20"/>
              </w:rPr>
              <w:t>does not include Bitcoins from customer deposits but does include Bitcoins that are pledged as collateral by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Utilization Rate </w:t>
            </w:r>
            <w:r>
              <w:rPr>
                <w:rFonts w:ascii="Times New Roman;Times;Serif" w:hAnsi="Times New Roman;Times;Serif"/>
                <w:sz w:val="20"/>
              </w:rPr>
              <w:t>as of the last day of the respective month is calculated as the total number of GPUs under internal and external orders divided by the total number of deployed GPUs.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Bitdeer is a world-leading technology company for AI neocloud services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Ethiopia, and Malaysia. To learn more, visit https://ir.bitdeer.com/ or follow Bitdeer on X@Bitdeer and LinkedIn @Bitdeer.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social media and other communication channels listed on its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Forward-looking statements in this press release include, among others, statements regarding: the expected DC RFS dates and the expected IT capacity of each data center identified above, and the aggregate AI Cloud capacity figures presented in this press release; the GPU platforms expected to be deployed at each facility and the availability and timing of delivery of that equipment; the off-take commitments covering more than 70% of the approximately 21.7 MW of capacity at the A201 facility, the expected five-year term of those commitments and the total expected revenue of more than $1.7 billion thereunder; the total expected AI Cloud revenue backlog of approximately $2.9 billion; the total contract value of the Tydal lease over the initial 16-year base term and the potential total contract value of approximately $8.0 billion if the tenant exercises its one-time 8-year extension option; the expected performance and characteristics of the Tydal data center, including its expected PUE and use of renewable energy; the Company’s expectations regarding additional power allocations at its Rockdale site; the expected deployment of GPU hardware at the A201 facility and the expected timing of full deployment and go-live at that facility; the outcome of ongoing contract negotiations, including in respect of the A201 facility; the Company’s plan to integrate NVIDIA’s AI safety technology stack; the expected transition of the Company’s infrastructure updates to a quarterly reporting cadence; and the expectation of continued momentum in the Company’s mining results.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 Dahya, Head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tesh.dahya@bitdeer.com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Eunice Hwangbo, Director, Corporate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eunice.hwangbo@bitdeer.com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w:t>
      </w:r>
    </w:p>
    <w:p>
      <w:pPr>
        <w:pStyle w:val="TextBody"/>
        <w:bidi w:val="0"/>
        <w:spacing w:before="0" w:after="0"/>
        <w:ind w:left="288" w:right="288" w:hanging="0"/>
        <w:jc w:val="left"/>
        <w:rPr>
          <w:caps w:val="false"/>
          <w:smallCaps w:val="false"/>
        </w:rPr>
      </w:pPr>
      <w:r>
        <w:rPr>
          <w:caps w:val="false"/>
          <w:smallCaps w:val="false"/>
        </w:rPr>
        <w:t> </w:t>
      </w:r>
    </w:p>
    <w:p>
      <w:pPr>
        <w:pStyle w:val="TextBody"/>
        <w:bidi w:val="0"/>
        <w:spacing w:before="0" w:after="0"/>
        <w:ind w:left="288" w:right="288"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2023</Words>
  <Characters>11678</Characters>
  <CharactersWithSpaces>13810</CharactersWithSpaces>
  <Paragraphs>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