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3441-6k_bitdeer.htm"/>
      <w:bookmarkStart w:id="1" w:name="ksea03034416k_bitdeer"/>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UNITED STATES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 UNDER</w:t>
        <w:b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001-41687</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08 Kallang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Aperia tower 1, #09-03/04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339509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center"/>
        <w:rPr>
          <w:caps w:val="false"/>
          <w:smallCaps w:val="false"/>
        </w:rPr>
      </w:pPr>
      <w:r>
        <w:rPr>
          <w:caps w:val="false"/>
          <w:smallCaps w:val="false"/>
        </w:rPr>
        <w:t> </w:t>
      </w:r>
    </w:p>
    <w:tbl>
      <w:tblPr>
        <w:tblW w:w="7630" w:type="dxa"/>
        <w:jc w:val="left"/>
        <w:tblInd w:w="0" w:type="dxa"/>
        <w:tblLayout w:type="fixed"/>
        <w:tblCellMar>
          <w:top w:w="0" w:type="dxa"/>
          <w:left w:w="0" w:type="dxa"/>
          <w:bottom w:w="28" w:type="dxa"/>
          <w:right w:w="0" w:type="dxa"/>
        </w:tblCellMar>
      </w:tblPr>
      <w:tblGrid>
        <w:gridCol w:w="995"/>
        <w:gridCol w:w="60"/>
        <w:gridCol w:w="6575"/>
      </w:tblGrid>
      <w:tr>
        <w:trPr/>
        <w:tc>
          <w:tcPr>
            <w:tcW w:w="995" w:type="dxa"/>
            <w:tcBorders>
              <w:bottom w:val="single" w:sz="12"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575" w:type="dxa"/>
            <w:tcBorders>
              <w:bottom w:val="single" w:sz="12" w:space="0" w:color="000000"/>
            </w:tcBorders>
            <w:vAlign w:val="center"/>
          </w:tcPr>
          <w:p>
            <w:pPr>
              <w:pStyle w:val="TableContents"/>
              <w:bidi w:val="0"/>
              <w:spacing w:before="0" w:after="283"/>
              <w:jc w:val="left"/>
              <w:rPr>
                <w:b/>
                <w:sz w:val="20"/>
              </w:rPr>
            </w:pPr>
            <w:r>
              <w:rPr>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75" w:type="dxa"/>
            <w:tcBorders/>
            <w:shd w:fill="CCEEFF" w:val="clear"/>
            <w:tcMar>
              <w:bottom w:w="0" w:type="dxa"/>
            </w:tcMar>
            <w:vAlign w:val="center"/>
          </w:tcPr>
          <w:p>
            <w:pPr>
              <w:pStyle w:val="TableContents"/>
              <w:bidi w:val="0"/>
              <w:spacing w:before="0" w:after="283"/>
              <w:jc w:val="left"/>
              <w:rPr/>
            </w:pPr>
            <w:hyperlink w:anchor="ea030344101ex99-1.htm">
              <w:r>
                <w:rPr>
                  <w:rStyle w:val="InternetLink"/>
                  <w:sz w:val="20"/>
                </w:rPr>
                <w:t>Press Release – Bitdeer Announces July 2026 Production and Operations Update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75"/>
        <w:gridCol w:w="635"/>
        <w:gridCol w:w="1955"/>
      </w:tblGrid>
      <w:tr>
        <w:trPr/>
        <w:tc>
          <w:tcPr>
            <w:tcW w:w="75" w:type="dxa"/>
            <w:tcBorders/>
            <w:vAlign w:val="center"/>
          </w:tcPr>
          <w:p>
            <w:pPr>
              <w:pStyle w:val="TableContents"/>
              <w:bidi w:val="0"/>
              <w:spacing w:before="0" w:after="283"/>
              <w:jc w:val="left"/>
              <w:rPr/>
            </w:pPr>
            <w:r>
              <w:rPr/>
              <w:t> </w:t>
            </w:r>
          </w:p>
        </w:tc>
        <w:tc>
          <w:tcPr>
            <w:tcW w:w="2590" w:type="dxa"/>
            <w:gridSpan w:val="2"/>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w:t>
            </w:r>
          </w:p>
        </w:tc>
      </w:tr>
      <w:tr>
        <w:trPr/>
        <w:tc>
          <w:tcPr>
            <w:tcW w:w="75" w:type="dxa"/>
            <w:tcBorders/>
            <w:vAlign w:val="center"/>
          </w:tcPr>
          <w:p>
            <w:pPr>
              <w:pStyle w:val="TableContents"/>
              <w:bidi w:val="0"/>
              <w:spacing w:before="0" w:after="283"/>
              <w:jc w:val="left"/>
              <w:rPr/>
            </w:pPr>
            <w:r>
              <w:rPr/>
              <w:t> </w:t>
            </w:r>
          </w:p>
        </w:tc>
        <w:tc>
          <w:tcPr>
            <w:tcW w:w="259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By:</w:t>
            </w:r>
          </w:p>
        </w:tc>
        <w:tc>
          <w:tcPr>
            <w:tcW w:w="195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Jihan Wu</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Name:  </w:t>
            </w:r>
          </w:p>
        </w:tc>
        <w:tc>
          <w:tcPr>
            <w:tcW w:w="1955" w:type="dxa"/>
            <w:tcBorders/>
            <w:vAlign w:val="center"/>
          </w:tcPr>
          <w:p>
            <w:pPr>
              <w:pStyle w:val="TableContents"/>
              <w:bidi w:val="0"/>
              <w:spacing w:before="0" w:after="283"/>
              <w:jc w:val="left"/>
              <w:rPr>
                <w:sz w:val="20"/>
              </w:rPr>
            </w:pPr>
            <w:r>
              <w:rPr>
                <w:sz w:val="20"/>
              </w:rPr>
              <w:t>Jihan Wu</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Title:</w:t>
            </w:r>
          </w:p>
        </w:tc>
        <w:tc>
          <w:tcPr>
            <w:tcW w:w="1955"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26,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344101ex99-1.htm"/>
      <w:bookmarkStart w:id="3" w:name="ksea0303441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047750" cy="695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47750" cy="6953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Announces July 2026 Production and Operations Update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Monthly Highlights</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86"/>
        <w:gridCol w:w="9978"/>
      </w:tblGrid>
      <w:tr>
        <w:trPr/>
        <w:tc>
          <w:tcPr>
            <w:tcW w:w="4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w:t>
            </w:r>
          </w:p>
        </w:tc>
        <w:tc>
          <w:tcPr>
            <w:tcW w:w="9978" w:type="dxa"/>
            <w:tcBorders/>
            <w:vAlign w:val="center"/>
          </w:tcPr>
          <w:p>
            <w:pPr>
              <w:pStyle w:val="TableContents"/>
              <w:bidi w:val="0"/>
              <w:spacing w:before="0" w:after="283"/>
              <w:jc w:val="left"/>
              <w:rPr/>
            </w:pPr>
            <w:r>
              <w:rPr>
                <w:b/>
              </w:rPr>
              <w:t>Colocation:</w:t>
            </w:r>
            <w:r>
              <w:rPr/>
              <w:t xml:space="preserve"> $4.7B, 16-Year AI/HPC Data Center lease announced for Tydal, Norway Campus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AI Cloud:</w:t>
            </w:r>
            <w:r>
              <w:rPr/>
              <w:t xml:space="preserve"> As of the reporting date, our 9.5MW A102 facility in Malaysia is fully committed under long-term offtake agreements, representing total expected contracted revenue exceeding $800 million. Additionally, contract discussions for the A201 facility (21.7MW IT Load) are currently underway. Demand is keen and strong. We expect to sign the contracts of A201 capacity and start collecting the advance payments within a month. We foresee the pricing of AI Cloud to increase further in the short-term future.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66"/>
        <w:gridCol w:w="298"/>
        <w:gridCol w:w="9841"/>
      </w:tblGrid>
      <w:tr>
        <w:trPr/>
        <w:tc>
          <w:tcPr>
            <w:tcW w:w="6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pPr>
            <w:r>
              <w:rPr/>
              <w:t>●</w:t>
            </w:r>
          </w:p>
        </w:tc>
        <w:tc>
          <w:tcPr>
            <w:tcW w:w="9841" w:type="dxa"/>
            <w:tcBorders/>
            <w:vAlign w:val="center"/>
          </w:tcPr>
          <w:p>
            <w:pPr>
              <w:pStyle w:val="TableContents"/>
              <w:bidi w:val="0"/>
              <w:spacing w:before="0" w:after="283"/>
              <w:jc w:val="left"/>
              <w:rPr/>
            </w:pPr>
            <w:r>
              <w:rPr>
                <w:b/>
              </w:rPr>
              <w:t>Bitcoin:</w:t>
            </w:r>
            <w:r>
              <w:rPr/>
              <w:t xml:space="preserve"> Production increased 322% Y/Y to 1,190 Bitcoin.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Metrics Summary</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65"/>
        <w:gridCol w:w="60"/>
        <w:gridCol w:w="776"/>
        <w:gridCol w:w="60"/>
        <w:gridCol w:w="4631"/>
        <w:gridCol w:w="60"/>
        <w:gridCol w:w="1126"/>
        <w:gridCol w:w="60"/>
        <w:gridCol w:w="1116"/>
        <w:gridCol w:w="60"/>
        <w:gridCol w:w="1191"/>
      </w:tblGrid>
      <w:tr>
        <w:trPr/>
        <w:tc>
          <w:tcPr>
            <w:tcW w:w="1065" w:type="dxa"/>
            <w:tcBorders>
              <w:bottom w:val="single" w:sz="12" w:space="0" w:color="000000"/>
            </w:tcBorders>
            <w:vAlign w:val="center"/>
          </w:tcPr>
          <w:p>
            <w:pPr>
              <w:pStyle w:val="TableContents"/>
              <w:bidi w:val="0"/>
              <w:spacing w:before="0" w:after="283"/>
              <w:jc w:val="center"/>
              <w:rPr>
                <w:b/>
              </w:rPr>
            </w:pPr>
            <w:r>
              <w:rPr>
                <w:b/>
              </w:rPr>
              <w:t>AI Cloud</w:t>
              <w:br/>
              <w:t xml:space="preserve">Pipeline </w:t>
              <w:br/>
              <w:t>(IT MW)</w:t>
            </w:r>
          </w:p>
        </w:tc>
        <w:tc>
          <w:tcPr>
            <w:tcW w:w="60" w:type="dxa"/>
            <w:tcBorders/>
            <w:tcMar>
              <w:bottom w:w="0" w:type="dxa"/>
            </w:tcMar>
            <w:vAlign w:val="center"/>
          </w:tcPr>
          <w:p>
            <w:pPr>
              <w:pStyle w:val="TableContents"/>
              <w:bidi w:val="0"/>
              <w:spacing w:before="0" w:after="283"/>
              <w:jc w:val="center"/>
              <w:rPr/>
            </w:pPr>
            <w:r>
              <w:rPr/>
              <w:t> </w:t>
            </w:r>
          </w:p>
        </w:tc>
        <w:tc>
          <w:tcPr>
            <w:tcW w:w="776" w:type="dxa"/>
            <w:tcBorders>
              <w:bottom w:val="single" w:sz="12" w:space="0" w:color="000000"/>
            </w:tcBorders>
            <w:vAlign w:val="center"/>
          </w:tcPr>
          <w:p>
            <w:pPr>
              <w:pStyle w:val="TableContents"/>
              <w:bidi w:val="0"/>
              <w:spacing w:before="0" w:after="283"/>
              <w:jc w:val="center"/>
              <w:rPr>
                <w:b/>
                <w:sz w:val="20"/>
              </w:rPr>
            </w:pPr>
            <w:r>
              <w:rPr>
                <w:b/>
                <w:sz w:val="20"/>
              </w:rPr>
              <w:t>AI Cloud</w:t>
              <w:br/>
              <w:t>ARR</w:t>
            </w:r>
            <w:r>
              <w:rPr>
                <w:b/>
                <w:position w:val="7"/>
                <w:sz w:val="16"/>
                <w:sz w:val="20"/>
              </w:rPr>
              <w:t>1</w:t>
            </w:r>
          </w:p>
        </w:tc>
        <w:tc>
          <w:tcPr>
            <w:tcW w:w="60" w:type="dxa"/>
            <w:tcBorders/>
            <w:tcMar>
              <w:bottom w:w="0" w:type="dxa"/>
            </w:tcMar>
            <w:vAlign w:val="center"/>
          </w:tcPr>
          <w:p>
            <w:pPr>
              <w:pStyle w:val="TableContents"/>
              <w:bidi w:val="0"/>
              <w:spacing w:before="0" w:after="283"/>
              <w:jc w:val="center"/>
              <w:rPr/>
            </w:pPr>
            <w:r>
              <w:rPr/>
              <w:t> </w:t>
            </w:r>
          </w:p>
        </w:tc>
        <w:tc>
          <w:tcPr>
            <w:tcW w:w="4631" w:type="dxa"/>
            <w:tcBorders>
              <w:bottom w:val="single" w:sz="12" w:space="0" w:color="000000"/>
            </w:tcBorders>
            <w:vAlign w:val="center"/>
          </w:tcPr>
          <w:p>
            <w:pPr>
              <w:pStyle w:val="TableContents"/>
              <w:bidi w:val="0"/>
              <w:spacing w:before="0" w:after="283"/>
              <w:jc w:val="center"/>
              <w:rPr>
                <w:b/>
              </w:rPr>
            </w:pPr>
            <w:r>
              <w:rPr>
                <w:b/>
              </w:rPr>
              <w:t>Colocation AI Data Center</w:t>
            </w:r>
          </w:p>
        </w:tc>
        <w:tc>
          <w:tcPr>
            <w:tcW w:w="60" w:type="dxa"/>
            <w:tcBorders/>
            <w:tcMar>
              <w:bottom w:w="0" w:type="dxa"/>
            </w:tcMar>
            <w:vAlign w:val="center"/>
          </w:tcPr>
          <w:p>
            <w:pPr>
              <w:pStyle w:val="TableContents"/>
              <w:bidi w:val="0"/>
              <w:spacing w:before="0" w:after="283"/>
              <w:jc w:val="center"/>
              <w:rPr/>
            </w:pPr>
            <w:r>
              <w:rPr/>
              <w:t> </w:t>
            </w:r>
          </w:p>
        </w:tc>
        <w:tc>
          <w:tcPr>
            <w:tcW w:w="1126" w:type="dxa"/>
            <w:tcBorders>
              <w:bottom w:val="single" w:sz="12" w:space="0" w:color="000000"/>
            </w:tcBorders>
            <w:vAlign w:val="center"/>
          </w:tcPr>
          <w:p>
            <w:pPr>
              <w:pStyle w:val="TableContents"/>
              <w:bidi w:val="0"/>
              <w:spacing w:before="0" w:after="283"/>
              <w:jc w:val="center"/>
              <w:rPr>
                <w:b/>
                <w:sz w:val="20"/>
              </w:rPr>
            </w:pPr>
            <w:r>
              <w:rPr>
                <w:b/>
                <w:sz w:val="20"/>
              </w:rPr>
              <w:t>Self-Mining</w:t>
              <w:br/>
              <w:t>Hash Rate</w:t>
            </w:r>
            <w:r>
              <w:rPr>
                <w:b/>
                <w:position w:val="7"/>
                <w:sz w:val="16"/>
                <w:sz w:val="20"/>
              </w:rPr>
              <w:t>2</w:t>
            </w:r>
          </w:p>
        </w:tc>
        <w:tc>
          <w:tcPr>
            <w:tcW w:w="60" w:type="dxa"/>
            <w:tcBorders/>
            <w:tcMar>
              <w:bottom w:w="0" w:type="dxa"/>
            </w:tcMar>
            <w:vAlign w:val="center"/>
          </w:tcPr>
          <w:p>
            <w:pPr>
              <w:pStyle w:val="TableContents"/>
              <w:bidi w:val="0"/>
              <w:spacing w:before="0" w:after="283"/>
              <w:jc w:val="center"/>
              <w:rPr/>
            </w:pPr>
            <w:r>
              <w:rPr/>
              <w:t> </w:t>
            </w:r>
          </w:p>
        </w:tc>
        <w:tc>
          <w:tcPr>
            <w:tcW w:w="1116" w:type="dxa"/>
            <w:tcBorders>
              <w:bottom w:val="single" w:sz="12" w:space="0" w:color="000000"/>
            </w:tcBorders>
            <w:vAlign w:val="center"/>
          </w:tcPr>
          <w:p>
            <w:pPr>
              <w:pStyle w:val="TableContents"/>
              <w:bidi w:val="0"/>
              <w:spacing w:before="0" w:after="283"/>
              <w:jc w:val="center"/>
              <w:rPr>
                <w:b/>
                <w:sz w:val="20"/>
              </w:rPr>
            </w:pPr>
            <w:r>
              <w:rPr>
                <w:b/>
                <w:sz w:val="20"/>
              </w:rPr>
              <w:t>Co-Mining</w:t>
              <w:br/>
              <w:t>Hash Rate</w:t>
            </w:r>
            <w:r>
              <w:rPr>
                <w:b/>
                <w:position w:val="7"/>
                <w:sz w:val="16"/>
                <w:sz w:val="20"/>
              </w:rPr>
              <w:t>3</w:t>
            </w:r>
          </w:p>
        </w:tc>
        <w:tc>
          <w:tcPr>
            <w:tcW w:w="60" w:type="dxa"/>
            <w:tcBorders/>
            <w:tcMar>
              <w:bottom w:w="0" w:type="dxa"/>
            </w:tcMar>
            <w:vAlign w:val="center"/>
          </w:tcPr>
          <w:p>
            <w:pPr>
              <w:pStyle w:val="TableContents"/>
              <w:bidi w:val="0"/>
              <w:spacing w:before="0" w:after="283"/>
              <w:jc w:val="center"/>
              <w:rPr/>
            </w:pPr>
            <w:r>
              <w:rPr/>
              <w:t> </w:t>
            </w:r>
          </w:p>
        </w:tc>
        <w:tc>
          <w:tcPr>
            <w:tcW w:w="1191" w:type="dxa"/>
            <w:tcBorders>
              <w:bottom w:val="single" w:sz="12" w:space="0" w:color="000000"/>
            </w:tcBorders>
            <w:vAlign w:val="center"/>
          </w:tcPr>
          <w:p>
            <w:pPr>
              <w:pStyle w:val="TableContents"/>
              <w:bidi w:val="0"/>
              <w:spacing w:before="0" w:after="283"/>
              <w:jc w:val="center"/>
              <w:rPr>
                <w:b/>
              </w:rPr>
            </w:pPr>
            <w:r>
              <w:rPr>
                <w:b/>
              </w:rPr>
              <w:t>BTC Mined</w:t>
            </w:r>
          </w:p>
        </w:tc>
      </w:tr>
      <w:tr>
        <w:trPr/>
        <w:tc>
          <w:tcPr>
            <w:tcW w:w="1065" w:type="dxa"/>
            <w:tcBorders/>
            <w:shd w:fill="CCEEFF" w:val="clear"/>
            <w:tcMar>
              <w:bottom w:w="0" w:type="dxa"/>
            </w:tcMar>
            <w:vAlign w:val="center"/>
          </w:tcPr>
          <w:p>
            <w:pPr>
              <w:pStyle w:val="TableContents"/>
              <w:bidi w:val="0"/>
              <w:spacing w:before="0" w:after="283"/>
              <w:jc w:val="center"/>
              <w:rPr>
                <w:b/>
              </w:rPr>
            </w:pPr>
            <w:r>
              <w:rPr>
                <w:b/>
              </w:rPr>
              <w:t>141.4 MW</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76" w:type="dxa"/>
            <w:tcBorders/>
            <w:shd w:fill="CCEEFF" w:val="clear"/>
            <w:tcMar>
              <w:bottom w:w="0" w:type="dxa"/>
            </w:tcMar>
            <w:vAlign w:val="center"/>
          </w:tcPr>
          <w:p>
            <w:pPr>
              <w:pStyle w:val="TableContents"/>
              <w:bidi w:val="0"/>
              <w:spacing w:before="0" w:after="283"/>
              <w:jc w:val="center"/>
              <w:rPr>
                <w:b/>
              </w:rPr>
            </w:pPr>
            <w:r>
              <w:rPr>
                <w:b/>
              </w:rPr>
              <w:t>~$76M</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631" w:type="dxa"/>
            <w:tcBorders/>
            <w:shd w:fill="CCEEFF" w:val="clear"/>
            <w:tcMar>
              <w:bottom w:w="0" w:type="dxa"/>
            </w:tcMar>
            <w:vAlign w:val="center"/>
          </w:tcPr>
          <w:p>
            <w:pPr>
              <w:pStyle w:val="TableContents"/>
              <w:bidi w:val="0"/>
              <w:spacing w:before="0" w:after="283"/>
              <w:jc w:val="center"/>
              <w:rPr>
                <w:b/>
              </w:rPr>
            </w:pPr>
            <w:r>
              <w:rPr>
                <w:b/>
              </w:rPr>
              <w:t>$4.7B, 16-Year Lease with Volta at Tydal, Norway</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126" w:type="dxa"/>
            <w:tcBorders/>
            <w:shd w:fill="CCEEFF" w:val="clear"/>
            <w:tcMar>
              <w:bottom w:w="0" w:type="dxa"/>
            </w:tcMar>
            <w:vAlign w:val="center"/>
          </w:tcPr>
          <w:p>
            <w:pPr>
              <w:pStyle w:val="TableContents"/>
              <w:bidi w:val="0"/>
              <w:spacing w:before="0" w:after="283"/>
              <w:jc w:val="center"/>
              <w:rPr>
                <w:b/>
              </w:rPr>
            </w:pPr>
            <w:r>
              <w:rPr>
                <w:b/>
              </w:rPr>
              <w:t>76.7 (EH/s)</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116" w:type="dxa"/>
            <w:tcBorders/>
            <w:shd w:fill="CCEEFF" w:val="clear"/>
            <w:tcMar>
              <w:bottom w:w="0" w:type="dxa"/>
            </w:tcMar>
            <w:vAlign w:val="center"/>
          </w:tcPr>
          <w:p>
            <w:pPr>
              <w:pStyle w:val="TableContents"/>
              <w:bidi w:val="0"/>
              <w:spacing w:before="0" w:after="283"/>
              <w:jc w:val="center"/>
              <w:rPr>
                <w:b/>
              </w:rPr>
            </w:pPr>
            <w:r>
              <w:rPr>
                <w:b/>
              </w:rPr>
              <w:t>18.7 (EH/s)</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191" w:type="dxa"/>
            <w:tcBorders/>
            <w:shd w:fill="CCEEFF" w:val="clear"/>
            <w:tcMar>
              <w:bottom w:w="0" w:type="dxa"/>
            </w:tcMar>
            <w:vAlign w:val="center"/>
          </w:tcPr>
          <w:p>
            <w:pPr>
              <w:pStyle w:val="TableContents"/>
              <w:bidi w:val="0"/>
              <w:spacing w:before="0" w:after="283"/>
              <w:jc w:val="center"/>
              <w:rPr>
                <w:b/>
              </w:rPr>
            </w:pPr>
            <w:r>
              <w:rPr>
                <w:b/>
              </w:rPr>
              <w:t>1,190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SINGAPORE, August 26, 2026 (GLOBE NEWSWIRE) </w:t>
      </w:r>
      <w:r>
        <w:rPr>
          <w:rFonts w:ascii="Times New Roman;Times;Serif" w:hAnsi="Times New Roman;Times;Serif"/>
          <w:b w:val="false"/>
          <w:i w:val="false"/>
          <w:caps w:val="false"/>
          <w:smallCaps w:val="false"/>
          <w:sz w:val="20"/>
        </w:rPr>
        <w:t>-- Bitdeer Technologies Group (NASDAQ: BTDR) (“</w:t>
      </w:r>
      <w:r>
        <w:rPr>
          <w:rFonts w:ascii="Times New Roman;Times;Serif" w:hAnsi="Times New Roman;Times;Serif"/>
          <w:b/>
          <w:i w:val="false"/>
          <w:caps w:val="false"/>
          <w:smallCaps w:val="false"/>
          <w:sz w:val="20"/>
        </w:rPr>
        <w:t>Bitdeer</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 world-leading technology company for AI and Bitcoin mining infrastructure, today announced its unaudited operations updates for July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 Commentary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July reflected continued execution across our vertically integrated platform. Announcing our $4.7B, 16-year AI/HPC lease in early August marks a key milestone in converting our power portfolio into contracted, long-term revenue,” said Michael G. Potter, Chief Financial Officer. “Our mining business continued to scale efficiently, reaching approximately 76.7 EH/s in self-mining hash rate. While our AI Cloud platform announced that as of today, our 9.5MW A102 facility in Malaysia is fully committed under long-term offtake agreements, representing total expected contracted revenue exceeding $800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AI Update: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Colocation AI Data Center:</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84"/>
        <w:gridCol w:w="9981"/>
      </w:tblGrid>
      <w:tr>
        <w:trPr/>
        <w:tc>
          <w:tcPr>
            <w:tcW w:w="4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w:t>
            </w:r>
          </w:p>
        </w:tc>
        <w:tc>
          <w:tcPr>
            <w:tcW w:w="9981" w:type="dxa"/>
            <w:tcBorders/>
            <w:vAlign w:val="center"/>
          </w:tcPr>
          <w:p>
            <w:pPr>
              <w:pStyle w:val="TableContents"/>
              <w:bidi w:val="0"/>
              <w:spacing w:before="0" w:after="283"/>
              <w:jc w:val="both"/>
              <w:rPr/>
            </w:pPr>
            <w:r>
              <w:rPr/>
              <w:t>Bitdeer Announces $4.7 billion, 16-Year AI/HPC Data Center Lease for Tydal, Norway Campus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Approximately $4.7 billion in contracted revenue over the initial 16-year base-term, with the potential to reach a total contract value of $8.0 billion through a one-time 8-year lease extension.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Tenant is a subsidiary of Volta; the entire 121 IT MW will be configured to run NVIDIA GPUs for the end customer, a leading AI lab.</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Credit backstop is anticipated to be arranged by affiliates of two leading top-tier global financial institutions via Letters of Credit, totaling approximately $1.3 billion and subject to customary conditions.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Tydal, Norway AI Data Center expected to be among Norway’s largest and most efficient AI data centers upon completion. With a PUE of approximately 1.1 and running on 100% renewable energy, it sets a compelling standard for data center performance, at scale.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047750" cy="6953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47750" cy="6953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 Cloud Key Metrics:</w:t>
      </w:r>
    </w:p>
    <w:p>
      <w:pPr>
        <w:pStyle w:val="TextBody"/>
        <w:bidi w:val="0"/>
        <w:spacing w:before="0" w:after="0"/>
        <w:ind w:left="0" w:right="0" w:hanging="0"/>
        <w:jc w:val="both"/>
        <w:rPr>
          <w:caps w:val="false"/>
          <w:smallCaps w:val="false"/>
        </w:rPr>
      </w:pPr>
      <w:r>
        <w:rPr>
          <w:caps w:val="false"/>
          <w:smallCaps w:val="false"/>
        </w:rPr>
        <w:t> </w:t>
      </w:r>
    </w:p>
    <w:tbl>
      <w:tblPr>
        <w:tblW w:w="8775" w:type="dxa"/>
        <w:jc w:val="left"/>
        <w:tblInd w:w="0" w:type="dxa"/>
        <w:tblLayout w:type="fixed"/>
        <w:tblCellMar>
          <w:top w:w="0" w:type="dxa"/>
          <w:left w:w="0" w:type="dxa"/>
          <w:bottom w:w="28" w:type="dxa"/>
          <w:right w:w="0" w:type="dxa"/>
        </w:tblCellMar>
      </w:tblPr>
      <w:tblGrid>
        <w:gridCol w:w="2840"/>
        <w:gridCol w:w="60"/>
        <w:gridCol w:w="2900"/>
        <w:gridCol w:w="60"/>
        <w:gridCol w:w="2915"/>
      </w:tblGrid>
      <w:tr>
        <w:trPr/>
        <w:tc>
          <w:tcPr>
            <w:tcW w:w="2840"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Metric</w:t>
            </w:r>
          </w:p>
        </w:tc>
        <w:tc>
          <w:tcPr>
            <w:tcW w:w="60" w:type="dxa"/>
            <w:tcBorders/>
            <w:tcMar>
              <w:bottom w:w="0" w:type="dxa"/>
            </w:tcMar>
            <w:vAlign w:val="center"/>
          </w:tcPr>
          <w:p>
            <w:pPr>
              <w:pStyle w:val="TableContents"/>
              <w:bidi w:val="0"/>
              <w:spacing w:before="0" w:after="283"/>
              <w:jc w:val="left"/>
              <w:rPr/>
            </w:pPr>
            <w:r>
              <w:rPr/>
              <w:t> </w:t>
            </w:r>
          </w:p>
        </w:tc>
        <w:tc>
          <w:tcPr>
            <w:tcW w:w="290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July 2026</w:t>
            </w:r>
          </w:p>
        </w:tc>
        <w:tc>
          <w:tcPr>
            <w:tcW w:w="60" w:type="dxa"/>
            <w:tcBorders/>
            <w:tcMar>
              <w:bottom w:w="0" w:type="dxa"/>
            </w:tcMar>
            <w:vAlign w:val="center"/>
          </w:tcPr>
          <w:p>
            <w:pPr>
              <w:pStyle w:val="TableContents"/>
              <w:bidi w:val="0"/>
              <w:spacing w:before="0" w:after="283"/>
              <w:jc w:val="left"/>
              <w:rPr/>
            </w:pPr>
            <w:r>
              <w:rPr/>
              <w:t> </w:t>
            </w:r>
          </w:p>
        </w:tc>
        <w:tc>
          <w:tcPr>
            <w:tcW w:w="29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2026</w:t>
            </w:r>
          </w:p>
        </w:tc>
      </w:tr>
      <w:tr>
        <w:trPr/>
        <w:tc>
          <w:tcPr>
            <w:tcW w:w="284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GPU Amount Deployed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0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4,248</w:t>
            </w:r>
          </w:p>
        </w:tc>
      </w:tr>
      <w:tr>
        <w:trPr/>
        <w:tc>
          <w:tcPr>
            <w:tcW w:w="284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GPU Types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0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H100, H200, B200, GB200, GB300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H100, H200, B200, GB200, GB300</w:t>
            </w:r>
          </w:p>
        </w:tc>
      </w:tr>
      <w:tr>
        <w:trPr/>
        <w:tc>
          <w:tcPr>
            <w:tcW w:w="284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Utilization Rate</w:t>
            </w:r>
            <w:r>
              <w:rPr>
                <w:rFonts w:ascii="Times New Roman;Times;Serif" w:hAnsi="Times New Roman;Times;Serif"/>
                <w:position w:val="7"/>
                <w:sz w:val="16"/>
                <w:sz w:val="20"/>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0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95%</w:t>
            </w:r>
          </w:p>
        </w:tc>
      </w:tr>
      <w:tr>
        <w:trPr/>
        <w:tc>
          <w:tcPr>
            <w:tcW w:w="284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GPUs Under External Subscription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0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3,517</w:t>
            </w:r>
          </w:p>
        </w:tc>
      </w:tr>
      <w:tr>
        <w:trPr/>
        <w:tc>
          <w:tcPr>
            <w:tcW w:w="284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ARR</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0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~$76M</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~$76M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AI Cloud Pipeline Update: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65"/>
        <w:gridCol w:w="60"/>
        <w:gridCol w:w="968"/>
        <w:gridCol w:w="60"/>
        <w:gridCol w:w="687"/>
        <w:gridCol w:w="60"/>
        <w:gridCol w:w="2003"/>
        <w:gridCol w:w="60"/>
        <w:gridCol w:w="694"/>
        <w:gridCol w:w="60"/>
        <w:gridCol w:w="2061"/>
        <w:gridCol w:w="60"/>
        <w:gridCol w:w="1141"/>
        <w:gridCol w:w="60"/>
        <w:gridCol w:w="1266"/>
      </w:tblGrid>
      <w:tr>
        <w:trPr/>
        <w:tc>
          <w:tcPr>
            <w:tcW w:w="965" w:type="dxa"/>
            <w:tcBorders>
              <w:bottom w:val="single" w:sz="12" w:space="0" w:color="000000"/>
            </w:tcBorders>
            <w:vAlign w:val="center"/>
          </w:tcPr>
          <w:p>
            <w:pPr>
              <w:pStyle w:val="TableContents"/>
              <w:bidi w:val="0"/>
              <w:spacing w:before="0" w:after="283"/>
              <w:jc w:val="left"/>
              <w:rPr>
                <w:b/>
              </w:rPr>
            </w:pPr>
            <w:r>
              <w:rPr>
                <w:b/>
              </w:rPr>
              <w:t>Data Center</w:t>
            </w:r>
          </w:p>
        </w:tc>
        <w:tc>
          <w:tcPr>
            <w:tcW w:w="60" w:type="dxa"/>
            <w:tcBorders/>
            <w:tcMar>
              <w:bottom w:w="0" w:type="dxa"/>
            </w:tcMar>
            <w:vAlign w:val="center"/>
          </w:tcPr>
          <w:p>
            <w:pPr>
              <w:pStyle w:val="TableContents"/>
              <w:bidi w:val="0"/>
              <w:spacing w:before="0" w:after="283"/>
              <w:jc w:val="center"/>
              <w:rPr/>
            </w:pPr>
            <w:r>
              <w:rPr/>
              <w:t> </w:t>
            </w:r>
          </w:p>
        </w:tc>
        <w:tc>
          <w:tcPr>
            <w:tcW w:w="968" w:type="dxa"/>
            <w:tcBorders>
              <w:bottom w:val="single" w:sz="12" w:space="0" w:color="000000"/>
            </w:tcBorders>
            <w:vAlign w:val="center"/>
          </w:tcPr>
          <w:p>
            <w:pPr>
              <w:pStyle w:val="TableContents"/>
              <w:bidi w:val="0"/>
              <w:spacing w:before="0" w:after="283"/>
              <w:jc w:val="center"/>
              <w:rPr>
                <w:b/>
              </w:rPr>
            </w:pPr>
            <w:r>
              <w:rPr>
                <w:b/>
              </w:rPr>
              <w:t>Location</w:t>
            </w:r>
          </w:p>
        </w:tc>
        <w:tc>
          <w:tcPr>
            <w:tcW w:w="60" w:type="dxa"/>
            <w:tcBorders/>
            <w:tcMar>
              <w:bottom w:w="0" w:type="dxa"/>
            </w:tcMar>
            <w:vAlign w:val="center"/>
          </w:tcPr>
          <w:p>
            <w:pPr>
              <w:pStyle w:val="TableContents"/>
              <w:bidi w:val="0"/>
              <w:spacing w:before="0" w:after="283"/>
              <w:jc w:val="center"/>
              <w:rPr/>
            </w:pPr>
            <w:r>
              <w:rPr/>
              <w:t> </w:t>
            </w:r>
          </w:p>
        </w:tc>
        <w:tc>
          <w:tcPr>
            <w:tcW w:w="687" w:type="dxa"/>
            <w:tcBorders>
              <w:bottom w:val="single" w:sz="12" w:space="0" w:color="000000"/>
            </w:tcBorders>
            <w:vAlign w:val="center"/>
          </w:tcPr>
          <w:p>
            <w:pPr>
              <w:pStyle w:val="TableContents"/>
              <w:bidi w:val="0"/>
              <w:spacing w:before="0" w:after="283"/>
              <w:jc w:val="center"/>
              <w:rPr>
                <w:b/>
              </w:rPr>
            </w:pPr>
            <w:r>
              <w:rPr>
                <w:b/>
              </w:rPr>
              <w:t>IT Load</w:t>
              <w:br/>
              <w:t>(MW)</w:t>
            </w:r>
          </w:p>
        </w:tc>
        <w:tc>
          <w:tcPr>
            <w:tcW w:w="60" w:type="dxa"/>
            <w:tcBorders/>
            <w:tcMar>
              <w:bottom w:w="0" w:type="dxa"/>
            </w:tcMar>
            <w:vAlign w:val="center"/>
          </w:tcPr>
          <w:p>
            <w:pPr>
              <w:pStyle w:val="TableContents"/>
              <w:bidi w:val="0"/>
              <w:spacing w:before="0" w:after="283"/>
              <w:jc w:val="center"/>
              <w:rPr/>
            </w:pPr>
            <w:r>
              <w:rPr/>
              <w:t> </w:t>
            </w:r>
          </w:p>
        </w:tc>
        <w:tc>
          <w:tcPr>
            <w:tcW w:w="2003" w:type="dxa"/>
            <w:tcBorders>
              <w:bottom w:val="single" w:sz="12" w:space="0" w:color="000000"/>
            </w:tcBorders>
            <w:vAlign w:val="center"/>
          </w:tcPr>
          <w:p>
            <w:pPr>
              <w:pStyle w:val="TableContents"/>
              <w:bidi w:val="0"/>
              <w:spacing w:before="0" w:after="283"/>
              <w:jc w:val="center"/>
              <w:rPr>
                <w:b/>
              </w:rPr>
            </w:pPr>
            <w:r>
              <w:rPr>
                <w:b/>
              </w:rPr>
              <w:t>GPU</w:t>
              <w:br/>
              <w:t>Platform</w:t>
            </w:r>
          </w:p>
        </w:tc>
        <w:tc>
          <w:tcPr>
            <w:tcW w:w="60" w:type="dxa"/>
            <w:tcBorders/>
            <w:tcMar>
              <w:bottom w:w="0" w:type="dxa"/>
            </w:tcMar>
            <w:vAlign w:val="center"/>
          </w:tcPr>
          <w:p>
            <w:pPr>
              <w:pStyle w:val="TableContents"/>
              <w:bidi w:val="0"/>
              <w:spacing w:before="0" w:after="283"/>
              <w:jc w:val="center"/>
              <w:rPr/>
            </w:pPr>
            <w:r>
              <w:rPr/>
              <w:t> </w:t>
            </w:r>
          </w:p>
        </w:tc>
        <w:tc>
          <w:tcPr>
            <w:tcW w:w="694" w:type="dxa"/>
            <w:tcBorders>
              <w:bottom w:val="single" w:sz="12" w:space="0" w:color="000000"/>
            </w:tcBorders>
            <w:vAlign w:val="center"/>
          </w:tcPr>
          <w:p>
            <w:pPr>
              <w:pStyle w:val="TableContents"/>
              <w:bidi w:val="0"/>
              <w:spacing w:before="0" w:after="283"/>
              <w:jc w:val="center"/>
              <w:rPr>
                <w:b/>
              </w:rPr>
            </w:pPr>
            <w:r>
              <w:rPr>
                <w:b/>
              </w:rPr>
              <w:t>DC RFS</w:t>
            </w:r>
          </w:p>
        </w:tc>
        <w:tc>
          <w:tcPr>
            <w:tcW w:w="60" w:type="dxa"/>
            <w:tcBorders/>
            <w:tcMar>
              <w:bottom w:w="0" w:type="dxa"/>
            </w:tcMar>
            <w:vAlign w:val="center"/>
          </w:tcPr>
          <w:p>
            <w:pPr>
              <w:pStyle w:val="TableContents"/>
              <w:bidi w:val="0"/>
              <w:spacing w:before="0" w:after="283"/>
              <w:jc w:val="center"/>
              <w:rPr/>
            </w:pPr>
            <w:r>
              <w:rPr/>
              <w:t> </w:t>
            </w:r>
          </w:p>
        </w:tc>
        <w:tc>
          <w:tcPr>
            <w:tcW w:w="2061" w:type="dxa"/>
            <w:tcBorders>
              <w:bottom w:val="single" w:sz="12" w:space="0" w:color="000000"/>
            </w:tcBorders>
            <w:vAlign w:val="center"/>
          </w:tcPr>
          <w:p>
            <w:pPr>
              <w:pStyle w:val="TableContents"/>
              <w:bidi w:val="0"/>
              <w:spacing w:before="0" w:after="283"/>
              <w:jc w:val="center"/>
              <w:rPr>
                <w:b/>
              </w:rPr>
            </w:pPr>
            <w:r>
              <w:rPr>
                <w:b/>
              </w:rPr>
              <w:t>Cloud</w:t>
              <w:br/>
              <w:t>Contract</w:t>
              <w:br/>
              <w:t>Status</w:t>
            </w:r>
          </w:p>
        </w:tc>
        <w:tc>
          <w:tcPr>
            <w:tcW w:w="60" w:type="dxa"/>
            <w:tcBorders/>
            <w:tcMar>
              <w:bottom w:w="0" w:type="dxa"/>
            </w:tcMar>
            <w:vAlign w:val="center"/>
          </w:tcPr>
          <w:p>
            <w:pPr>
              <w:pStyle w:val="TableContents"/>
              <w:bidi w:val="0"/>
              <w:spacing w:before="0" w:after="283"/>
              <w:jc w:val="center"/>
              <w:rPr/>
            </w:pPr>
            <w:r>
              <w:rPr/>
              <w:t> </w:t>
            </w:r>
          </w:p>
        </w:tc>
        <w:tc>
          <w:tcPr>
            <w:tcW w:w="1141" w:type="dxa"/>
            <w:tcBorders>
              <w:bottom w:val="single" w:sz="12" w:space="0" w:color="000000"/>
            </w:tcBorders>
            <w:vAlign w:val="center"/>
          </w:tcPr>
          <w:p>
            <w:pPr>
              <w:pStyle w:val="TableContents"/>
              <w:bidi w:val="0"/>
              <w:spacing w:before="0" w:after="283"/>
              <w:jc w:val="center"/>
              <w:rPr>
                <w:b/>
              </w:rPr>
            </w:pPr>
            <w:r>
              <w:rPr>
                <w:b/>
              </w:rPr>
              <w:t>Long Term</w:t>
              <w:br/>
              <w:t>Contract</w:t>
              <w:br/>
              <w:t>Coverage, %</w:t>
            </w:r>
          </w:p>
        </w:tc>
        <w:tc>
          <w:tcPr>
            <w:tcW w:w="60" w:type="dxa"/>
            <w:tcBorders/>
            <w:tcMar>
              <w:bottom w:w="0" w:type="dxa"/>
            </w:tcMar>
            <w:vAlign w:val="center"/>
          </w:tcPr>
          <w:p>
            <w:pPr>
              <w:pStyle w:val="TableContents"/>
              <w:bidi w:val="0"/>
              <w:spacing w:before="0" w:after="283"/>
              <w:jc w:val="center"/>
              <w:rPr/>
            </w:pPr>
            <w:r>
              <w:rPr/>
              <w:t> </w:t>
            </w:r>
          </w:p>
        </w:tc>
        <w:tc>
          <w:tcPr>
            <w:tcW w:w="1266" w:type="dxa"/>
            <w:tcBorders>
              <w:bottom w:val="single" w:sz="12" w:space="0" w:color="000000"/>
            </w:tcBorders>
            <w:vAlign w:val="center"/>
          </w:tcPr>
          <w:p>
            <w:pPr>
              <w:pStyle w:val="TableContents"/>
              <w:bidi w:val="0"/>
              <w:spacing w:before="0" w:after="283"/>
              <w:jc w:val="center"/>
              <w:rPr>
                <w:b/>
              </w:rPr>
            </w:pPr>
            <w:r>
              <w:rPr>
                <w:b/>
              </w:rPr>
              <w:t>DC Contract</w:t>
            </w:r>
          </w:p>
        </w:tc>
      </w:tr>
      <w:tr>
        <w:trPr/>
        <w:tc>
          <w:tcPr>
            <w:tcW w:w="965" w:type="dxa"/>
            <w:tcBorders/>
            <w:shd w:fill="CCEEFF" w:val="clear"/>
            <w:tcMar>
              <w:bottom w:w="0" w:type="dxa"/>
            </w:tcMar>
            <w:vAlign w:val="center"/>
          </w:tcPr>
          <w:p>
            <w:pPr>
              <w:pStyle w:val="TableContents"/>
              <w:bidi w:val="0"/>
              <w:spacing w:before="0" w:after="283"/>
              <w:jc w:val="left"/>
              <w:rPr>
                <w:b/>
              </w:rPr>
            </w:pPr>
            <w:r>
              <w:rPr>
                <w:b/>
              </w:rPr>
              <w:t>A101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68" w:type="dxa"/>
            <w:tcBorders/>
            <w:shd w:fill="CCEEFF" w:val="clear"/>
            <w:tcMar>
              <w:bottom w:w="0" w:type="dxa"/>
            </w:tcMar>
            <w:vAlign w:val="center"/>
          </w:tcPr>
          <w:p>
            <w:pPr>
              <w:pStyle w:val="TableContents"/>
              <w:bidi w:val="0"/>
              <w:spacing w:before="0" w:after="283"/>
              <w:jc w:val="center"/>
              <w:rPr/>
            </w:pPr>
            <w:r>
              <w:rPr/>
              <w:t>Malaysia</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87" w:type="dxa"/>
            <w:tcBorders/>
            <w:shd w:fill="CCEEFF" w:val="clear"/>
            <w:tcMar>
              <w:bottom w:w="0" w:type="dxa"/>
            </w:tcMar>
            <w:vAlign w:val="center"/>
          </w:tcPr>
          <w:p>
            <w:pPr>
              <w:pStyle w:val="TableContents"/>
              <w:bidi w:val="0"/>
              <w:spacing w:before="0" w:after="283"/>
              <w:jc w:val="center"/>
              <w:rPr/>
            </w:pPr>
            <w:r>
              <w:rPr/>
              <w:t>2.5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003" w:type="dxa"/>
            <w:tcBorders/>
            <w:shd w:fill="CCEEFF" w:val="clear"/>
            <w:tcMar>
              <w:bottom w:w="0" w:type="dxa"/>
            </w:tcMar>
            <w:vAlign w:val="center"/>
          </w:tcPr>
          <w:p>
            <w:pPr>
              <w:pStyle w:val="TableContents"/>
              <w:bidi w:val="0"/>
              <w:spacing w:before="0" w:after="283"/>
              <w:jc w:val="center"/>
              <w:rPr/>
            </w:pPr>
            <w:r>
              <w:rPr/>
              <w:t>GB200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94" w:type="dxa"/>
            <w:tcBorders/>
            <w:shd w:fill="CCEEFF" w:val="clear"/>
            <w:tcMar>
              <w:bottom w:w="0" w:type="dxa"/>
            </w:tcMar>
            <w:vAlign w:val="center"/>
          </w:tcPr>
          <w:p>
            <w:pPr>
              <w:pStyle w:val="TableContents"/>
              <w:bidi w:val="0"/>
              <w:spacing w:before="0" w:after="283"/>
              <w:jc w:val="center"/>
              <w:rPr/>
            </w:pPr>
            <w:r>
              <w:rPr/>
              <w:t>Live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061" w:type="dxa"/>
            <w:tcBorders/>
            <w:shd w:fill="CCEEFF" w:val="clear"/>
            <w:tcMar>
              <w:bottom w:w="0" w:type="dxa"/>
            </w:tcMar>
            <w:vAlign w:val="center"/>
          </w:tcPr>
          <w:p>
            <w:pPr>
              <w:pStyle w:val="TableContents"/>
              <w:bidi w:val="0"/>
              <w:spacing w:before="0" w:after="283"/>
              <w:jc w:val="center"/>
              <w:rPr/>
            </w:pPr>
            <w:r>
              <w:rPr/>
              <w:t>Live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141" w:type="dxa"/>
            <w:tcBorders/>
            <w:shd w:fill="CCEEFF" w:val="clear"/>
            <w:tcMar>
              <w:bottom w:w="0" w:type="dxa"/>
            </w:tcMar>
            <w:vAlign w:val="center"/>
          </w:tcPr>
          <w:p>
            <w:pPr>
              <w:pStyle w:val="TableContents"/>
              <w:bidi w:val="0"/>
              <w:spacing w:before="0" w:after="283"/>
              <w:jc w:val="center"/>
              <w:rPr/>
            </w:pPr>
            <w:r>
              <w:rPr/>
              <w:t>100%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66" w:type="dxa"/>
            <w:tcBorders/>
            <w:shd w:fill="CCEEFF" w:val="clear"/>
            <w:tcMar>
              <w:bottom w:w="0" w:type="dxa"/>
            </w:tcMar>
            <w:vAlign w:val="center"/>
          </w:tcPr>
          <w:p>
            <w:pPr>
              <w:pStyle w:val="TableContents"/>
              <w:bidi w:val="0"/>
              <w:spacing w:before="0" w:after="283"/>
              <w:jc w:val="center"/>
              <w:rPr/>
            </w:pPr>
            <w:r>
              <w:rPr/>
              <w:t>Signed</w:t>
            </w:r>
          </w:p>
        </w:tc>
      </w:tr>
      <w:tr>
        <w:trPr/>
        <w:tc>
          <w:tcPr>
            <w:tcW w:w="965" w:type="dxa"/>
            <w:tcBorders/>
            <w:shd w:fill="FFFFFF" w:val="clear"/>
            <w:tcMar>
              <w:bottom w:w="0" w:type="dxa"/>
            </w:tcMar>
            <w:vAlign w:val="center"/>
          </w:tcPr>
          <w:p>
            <w:pPr>
              <w:pStyle w:val="TableContents"/>
              <w:bidi w:val="0"/>
              <w:spacing w:before="0" w:after="283"/>
              <w:jc w:val="left"/>
              <w:rPr>
                <w:b/>
              </w:rPr>
            </w:pPr>
            <w:r>
              <w:rPr>
                <w:b/>
              </w:rPr>
              <w:t>A102</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68" w:type="dxa"/>
            <w:tcBorders/>
            <w:shd w:fill="FFFFFF" w:val="clear"/>
            <w:tcMar>
              <w:bottom w:w="0" w:type="dxa"/>
            </w:tcMar>
            <w:vAlign w:val="center"/>
          </w:tcPr>
          <w:p>
            <w:pPr>
              <w:pStyle w:val="TableContents"/>
              <w:bidi w:val="0"/>
              <w:spacing w:before="0" w:after="283"/>
              <w:jc w:val="center"/>
              <w:rPr/>
            </w:pPr>
            <w:r>
              <w:rPr/>
              <w:t>Malaysia</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87" w:type="dxa"/>
            <w:tcBorders/>
            <w:shd w:fill="FFFFFF" w:val="clear"/>
            <w:tcMar>
              <w:bottom w:w="0" w:type="dxa"/>
            </w:tcMar>
            <w:vAlign w:val="center"/>
          </w:tcPr>
          <w:p>
            <w:pPr>
              <w:pStyle w:val="TableContents"/>
              <w:bidi w:val="0"/>
              <w:spacing w:before="0" w:after="283"/>
              <w:jc w:val="center"/>
              <w:rPr/>
            </w:pPr>
            <w:r>
              <w:rPr/>
              <w:t>9.5</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003" w:type="dxa"/>
            <w:tcBorders/>
            <w:shd w:fill="FFFFFF" w:val="clear"/>
            <w:tcMar>
              <w:bottom w:w="0" w:type="dxa"/>
            </w:tcMar>
            <w:vAlign w:val="center"/>
          </w:tcPr>
          <w:p>
            <w:pPr>
              <w:pStyle w:val="TableContents"/>
              <w:bidi w:val="0"/>
              <w:spacing w:before="0" w:after="283"/>
              <w:jc w:val="center"/>
              <w:rPr/>
            </w:pPr>
            <w:r>
              <w:rPr/>
              <w:t>GB300</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94" w:type="dxa"/>
            <w:tcBorders/>
            <w:shd w:fill="FFFFFF" w:val="clear"/>
            <w:tcMar>
              <w:bottom w:w="0" w:type="dxa"/>
            </w:tcMar>
            <w:vAlign w:val="center"/>
          </w:tcPr>
          <w:p>
            <w:pPr>
              <w:pStyle w:val="TableContents"/>
              <w:bidi w:val="0"/>
              <w:spacing w:before="0" w:after="283"/>
              <w:jc w:val="center"/>
              <w:rPr/>
            </w:pPr>
            <w:r>
              <w:rPr/>
              <w:t>Nov 2026</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061" w:type="dxa"/>
            <w:tcBorders/>
            <w:shd w:fill="FFFFFF" w:val="clear"/>
            <w:tcMar>
              <w:bottom w:w="0" w:type="dxa"/>
            </w:tcMar>
            <w:vAlign w:val="center"/>
          </w:tcPr>
          <w:p>
            <w:pPr>
              <w:pStyle w:val="TableContents"/>
              <w:bidi w:val="0"/>
              <w:spacing w:before="0" w:after="283"/>
              <w:jc w:val="center"/>
              <w:rPr/>
            </w:pPr>
            <w:r>
              <w:rPr/>
              <w:t>50% signed, 50% contract in execution</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141" w:type="dxa"/>
            <w:tcBorders/>
            <w:shd w:fill="FFFFFF" w:val="clear"/>
            <w:tcMar>
              <w:bottom w:w="0" w:type="dxa"/>
            </w:tcMar>
            <w:vAlign w:val="center"/>
          </w:tcPr>
          <w:p>
            <w:pPr>
              <w:pStyle w:val="TableContents"/>
              <w:bidi w:val="0"/>
              <w:spacing w:before="0" w:after="283"/>
              <w:jc w:val="center"/>
              <w:rPr/>
            </w:pPr>
            <w:r>
              <w:rPr/>
              <w:t>100%</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66" w:type="dxa"/>
            <w:tcBorders/>
            <w:shd w:fill="FFFFFF" w:val="clear"/>
            <w:tcMar>
              <w:bottom w:w="0" w:type="dxa"/>
            </w:tcMar>
            <w:vAlign w:val="center"/>
          </w:tcPr>
          <w:p>
            <w:pPr>
              <w:pStyle w:val="TableContents"/>
              <w:bidi w:val="0"/>
              <w:spacing w:before="0" w:after="283"/>
              <w:jc w:val="center"/>
              <w:rPr/>
            </w:pPr>
            <w:r>
              <w:rPr/>
              <w:t>Signed</w:t>
            </w:r>
          </w:p>
        </w:tc>
      </w:tr>
      <w:tr>
        <w:trPr/>
        <w:tc>
          <w:tcPr>
            <w:tcW w:w="965" w:type="dxa"/>
            <w:tcBorders/>
            <w:shd w:fill="CCEEFF" w:val="clear"/>
            <w:tcMar>
              <w:bottom w:w="0" w:type="dxa"/>
            </w:tcMar>
            <w:vAlign w:val="center"/>
          </w:tcPr>
          <w:p>
            <w:pPr>
              <w:pStyle w:val="TableContents"/>
              <w:bidi w:val="0"/>
              <w:spacing w:before="0" w:after="283"/>
              <w:jc w:val="left"/>
              <w:rPr>
                <w:b/>
              </w:rPr>
            </w:pPr>
            <w:r>
              <w:rPr>
                <w:b/>
              </w:rPr>
              <w:t>A201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68" w:type="dxa"/>
            <w:tcBorders/>
            <w:shd w:fill="CCEEFF" w:val="clear"/>
            <w:tcMar>
              <w:bottom w:w="0" w:type="dxa"/>
            </w:tcMar>
            <w:vAlign w:val="center"/>
          </w:tcPr>
          <w:p>
            <w:pPr>
              <w:pStyle w:val="TableContents"/>
              <w:bidi w:val="0"/>
              <w:spacing w:before="0" w:after="283"/>
              <w:jc w:val="center"/>
              <w:rPr/>
            </w:pPr>
            <w:r>
              <w:rPr/>
              <w:t>Malaysia</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87" w:type="dxa"/>
            <w:tcBorders/>
            <w:shd w:fill="CCEEFF" w:val="clear"/>
            <w:tcMar>
              <w:bottom w:w="0" w:type="dxa"/>
            </w:tcMar>
            <w:vAlign w:val="center"/>
          </w:tcPr>
          <w:p>
            <w:pPr>
              <w:pStyle w:val="TableContents"/>
              <w:bidi w:val="0"/>
              <w:spacing w:before="0" w:after="283"/>
              <w:jc w:val="center"/>
              <w:rPr/>
            </w:pPr>
            <w:r>
              <w:rPr/>
              <w:t>21.7</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003" w:type="dxa"/>
            <w:tcBorders/>
            <w:shd w:fill="CCEEFF" w:val="clear"/>
            <w:tcMar>
              <w:bottom w:w="0" w:type="dxa"/>
            </w:tcMar>
            <w:vAlign w:val="center"/>
          </w:tcPr>
          <w:p>
            <w:pPr>
              <w:pStyle w:val="TableContents"/>
              <w:bidi w:val="0"/>
              <w:spacing w:before="0" w:after="283"/>
              <w:jc w:val="center"/>
              <w:rPr/>
            </w:pPr>
            <w:r>
              <w:rPr/>
              <w:t>GB300 and small portion Vera Rubin</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94" w:type="dxa"/>
            <w:tcBorders/>
            <w:shd w:fill="CCEEFF" w:val="clear"/>
            <w:tcMar>
              <w:bottom w:w="0" w:type="dxa"/>
            </w:tcMar>
            <w:vAlign w:val="center"/>
          </w:tcPr>
          <w:p>
            <w:pPr>
              <w:pStyle w:val="TableContents"/>
              <w:bidi w:val="0"/>
              <w:spacing w:before="0" w:after="283"/>
              <w:jc w:val="center"/>
              <w:rPr/>
            </w:pPr>
            <w:r>
              <w:rPr/>
              <w:t>Jan 2027</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061"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141"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66" w:type="dxa"/>
            <w:tcBorders/>
            <w:shd w:fill="CCEEFF" w:val="clear"/>
            <w:tcMar>
              <w:bottom w:w="0" w:type="dxa"/>
            </w:tcMar>
            <w:vAlign w:val="center"/>
          </w:tcPr>
          <w:p>
            <w:pPr>
              <w:pStyle w:val="TableContents"/>
              <w:bidi w:val="0"/>
              <w:spacing w:before="0" w:after="283"/>
              <w:jc w:val="center"/>
              <w:rPr/>
            </w:pPr>
            <w:r>
              <w:rPr/>
              <w:t>Signed</w:t>
            </w:r>
          </w:p>
        </w:tc>
      </w:tr>
      <w:tr>
        <w:trPr/>
        <w:tc>
          <w:tcPr>
            <w:tcW w:w="965" w:type="dxa"/>
            <w:tcBorders/>
            <w:shd w:fill="FFFFFF" w:val="clear"/>
            <w:tcMar>
              <w:bottom w:w="0" w:type="dxa"/>
            </w:tcMar>
            <w:vAlign w:val="center"/>
          </w:tcPr>
          <w:p>
            <w:pPr>
              <w:pStyle w:val="TableContents"/>
              <w:bidi w:val="0"/>
              <w:spacing w:before="0" w:after="283"/>
              <w:jc w:val="left"/>
              <w:rPr>
                <w:b/>
              </w:rPr>
            </w:pPr>
            <w:r>
              <w:rPr>
                <w:b/>
              </w:rPr>
              <w:t>A401</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68" w:type="dxa"/>
            <w:tcBorders/>
            <w:shd w:fill="FFFFFF" w:val="clear"/>
            <w:tcMar>
              <w:bottom w:w="0" w:type="dxa"/>
            </w:tcMar>
            <w:vAlign w:val="center"/>
          </w:tcPr>
          <w:p>
            <w:pPr>
              <w:pStyle w:val="TableContents"/>
              <w:bidi w:val="0"/>
              <w:spacing w:before="0" w:after="283"/>
              <w:jc w:val="center"/>
              <w:rPr/>
            </w:pPr>
            <w:r>
              <w:rPr/>
              <w:t>Norway</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87" w:type="dxa"/>
            <w:tcBorders/>
            <w:shd w:fill="FFFFFF" w:val="clear"/>
            <w:tcMar>
              <w:bottom w:w="0" w:type="dxa"/>
            </w:tcMar>
            <w:vAlign w:val="center"/>
          </w:tcPr>
          <w:p>
            <w:pPr>
              <w:pStyle w:val="TableContents"/>
              <w:bidi w:val="0"/>
              <w:spacing w:before="0" w:after="283"/>
              <w:jc w:val="center"/>
              <w:rPr/>
            </w:pPr>
            <w:r>
              <w:rPr/>
              <w:t>42.7</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003" w:type="dxa"/>
            <w:tcBorders/>
            <w:shd w:fill="FFFFFF" w:val="clear"/>
            <w:tcMar>
              <w:bottom w:w="0" w:type="dxa"/>
            </w:tcMar>
            <w:vAlign w:val="center"/>
          </w:tcPr>
          <w:p>
            <w:pPr>
              <w:pStyle w:val="TableContents"/>
              <w:bidi w:val="0"/>
              <w:spacing w:before="0" w:after="283"/>
              <w:jc w:val="center"/>
              <w:rPr/>
            </w:pPr>
            <w:r>
              <w:rPr/>
              <w:t>Vera Rubin</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94" w:type="dxa"/>
            <w:tcBorders/>
            <w:shd w:fill="FFFFFF" w:val="clear"/>
            <w:tcMar>
              <w:bottom w:w="0" w:type="dxa"/>
            </w:tcMar>
            <w:vAlign w:val="center"/>
          </w:tcPr>
          <w:p>
            <w:pPr>
              <w:pStyle w:val="TableContents"/>
              <w:bidi w:val="0"/>
              <w:spacing w:before="0" w:after="283"/>
              <w:jc w:val="center"/>
              <w:rPr/>
            </w:pPr>
            <w:r>
              <w:rPr/>
              <w:t>2H 2027</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061"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141"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66" w:type="dxa"/>
            <w:tcBorders/>
            <w:shd w:fill="FFFFFF" w:val="clear"/>
            <w:tcMar>
              <w:bottom w:w="0" w:type="dxa"/>
            </w:tcMar>
            <w:vAlign w:val="center"/>
          </w:tcPr>
          <w:p>
            <w:pPr>
              <w:pStyle w:val="TableContents"/>
              <w:bidi w:val="0"/>
              <w:spacing w:before="0" w:after="283"/>
              <w:jc w:val="center"/>
              <w:rPr/>
            </w:pPr>
            <w:r>
              <w:rPr/>
              <w:t>Self-Owned</w:t>
            </w:r>
          </w:p>
        </w:tc>
      </w:tr>
      <w:tr>
        <w:trPr/>
        <w:tc>
          <w:tcPr>
            <w:tcW w:w="965" w:type="dxa"/>
            <w:tcBorders/>
            <w:shd w:fill="CCEEFF" w:val="clear"/>
            <w:tcMar>
              <w:bottom w:w="0" w:type="dxa"/>
            </w:tcMar>
            <w:vAlign w:val="center"/>
          </w:tcPr>
          <w:p>
            <w:pPr>
              <w:pStyle w:val="TableContents"/>
              <w:bidi w:val="0"/>
              <w:spacing w:before="0" w:after="283"/>
              <w:jc w:val="left"/>
              <w:rPr>
                <w:b/>
              </w:rPr>
            </w:pPr>
            <w:r>
              <w:rPr>
                <w:b/>
              </w:rPr>
              <w:t>A501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68" w:type="dxa"/>
            <w:tcBorders/>
            <w:shd w:fill="CCEEFF" w:val="clear"/>
            <w:tcMar>
              <w:bottom w:w="0" w:type="dxa"/>
            </w:tcMar>
            <w:vAlign w:val="center"/>
          </w:tcPr>
          <w:p>
            <w:pPr>
              <w:pStyle w:val="TableContents"/>
              <w:bidi w:val="0"/>
              <w:spacing w:before="0" w:after="283"/>
              <w:jc w:val="center"/>
              <w:rPr/>
            </w:pPr>
            <w:r>
              <w:rPr/>
              <w:t>WA, USA</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87" w:type="dxa"/>
            <w:tcBorders/>
            <w:shd w:fill="CCEEFF" w:val="clear"/>
            <w:tcMar>
              <w:bottom w:w="0" w:type="dxa"/>
            </w:tcMar>
            <w:vAlign w:val="center"/>
          </w:tcPr>
          <w:p>
            <w:pPr>
              <w:pStyle w:val="TableContents"/>
              <w:bidi w:val="0"/>
              <w:spacing w:before="0" w:after="283"/>
              <w:jc w:val="center"/>
              <w:rPr/>
            </w:pPr>
            <w:r>
              <w:rPr/>
              <w:t>10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003" w:type="dxa"/>
            <w:tcBorders/>
            <w:shd w:fill="CCEEFF" w:val="clear"/>
            <w:tcMar>
              <w:bottom w:w="0" w:type="dxa"/>
            </w:tcMar>
            <w:vAlign w:val="center"/>
          </w:tcPr>
          <w:p>
            <w:pPr>
              <w:pStyle w:val="TableContents"/>
              <w:bidi w:val="0"/>
              <w:spacing w:before="0" w:after="283"/>
              <w:jc w:val="center"/>
              <w:rPr/>
            </w:pPr>
            <w:r>
              <w:rPr/>
              <w:t>Vera Rubin</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94" w:type="dxa"/>
            <w:tcBorders/>
            <w:shd w:fill="CCEEFF" w:val="clear"/>
            <w:tcMar>
              <w:bottom w:w="0" w:type="dxa"/>
            </w:tcMar>
            <w:vAlign w:val="center"/>
          </w:tcPr>
          <w:p>
            <w:pPr>
              <w:pStyle w:val="TableContents"/>
              <w:bidi w:val="0"/>
              <w:spacing w:before="0" w:after="283"/>
              <w:jc w:val="center"/>
              <w:rPr/>
            </w:pPr>
            <w:r>
              <w:rPr/>
              <w:t>Dec 2027</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061"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141"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66" w:type="dxa"/>
            <w:tcBorders/>
            <w:shd w:fill="CCEEFF" w:val="clear"/>
            <w:tcMar>
              <w:bottom w:w="0" w:type="dxa"/>
            </w:tcMar>
            <w:vAlign w:val="center"/>
          </w:tcPr>
          <w:p>
            <w:pPr>
              <w:pStyle w:val="TableContents"/>
              <w:bidi w:val="0"/>
              <w:spacing w:before="0" w:after="283"/>
              <w:jc w:val="center"/>
              <w:rPr/>
            </w:pPr>
            <w:r>
              <w:rPr/>
              <w:t>Self-Owned</w:t>
            </w:r>
          </w:p>
        </w:tc>
      </w:tr>
      <w:tr>
        <w:trPr/>
        <w:tc>
          <w:tcPr>
            <w:tcW w:w="965" w:type="dxa"/>
            <w:tcBorders/>
            <w:shd w:fill="FFFFFF" w:val="clear"/>
            <w:tcMar>
              <w:bottom w:w="0" w:type="dxa"/>
            </w:tcMar>
            <w:vAlign w:val="center"/>
          </w:tcPr>
          <w:p>
            <w:pPr>
              <w:pStyle w:val="TableContents"/>
              <w:bidi w:val="0"/>
              <w:spacing w:before="0" w:after="283"/>
              <w:jc w:val="left"/>
              <w:rPr>
                <w:b/>
              </w:rPr>
            </w:pPr>
            <w:r>
              <w:rPr>
                <w:b/>
              </w:rPr>
              <w:t>A601</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68" w:type="dxa"/>
            <w:tcBorders/>
            <w:shd w:fill="FFFFFF" w:val="clear"/>
            <w:tcMar>
              <w:bottom w:w="0" w:type="dxa"/>
            </w:tcMar>
            <w:vAlign w:val="center"/>
          </w:tcPr>
          <w:p>
            <w:pPr>
              <w:pStyle w:val="TableContents"/>
              <w:bidi w:val="0"/>
              <w:spacing w:before="0" w:after="283"/>
              <w:jc w:val="center"/>
              <w:rPr/>
            </w:pPr>
            <w:r>
              <w:rPr/>
              <w:t>TN, USA</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87" w:type="dxa"/>
            <w:tcBorders/>
            <w:shd w:fill="FFFFFF" w:val="clear"/>
            <w:tcMar>
              <w:bottom w:w="0" w:type="dxa"/>
            </w:tcMar>
            <w:vAlign w:val="center"/>
          </w:tcPr>
          <w:p>
            <w:pPr>
              <w:pStyle w:val="TableContents"/>
              <w:bidi w:val="0"/>
              <w:spacing w:before="0" w:after="283"/>
              <w:jc w:val="center"/>
              <w:rPr/>
            </w:pPr>
            <w:r>
              <w:rPr/>
              <w:t>55</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003" w:type="dxa"/>
            <w:tcBorders/>
            <w:shd w:fill="FFFFFF" w:val="clear"/>
            <w:tcMar>
              <w:bottom w:w="0" w:type="dxa"/>
            </w:tcMar>
            <w:vAlign w:val="center"/>
          </w:tcPr>
          <w:p>
            <w:pPr>
              <w:pStyle w:val="TableContents"/>
              <w:bidi w:val="0"/>
              <w:spacing w:before="0" w:after="283"/>
              <w:jc w:val="center"/>
              <w:rPr/>
            </w:pPr>
            <w:r>
              <w:rPr/>
              <w:t>Vera Rubin</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94" w:type="dxa"/>
            <w:tcBorders/>
            <w:shd w:fill="FFFFFF" w:val="clear"/>
            <w:tcMar>
              <w:bottom w:w="0" w:type="dxa"/>
            </w:tcMar>
            <w:vAlign w:val="center"/>
          </w:tcPr>
          <w:p>
            <w:pPr>
              <w:pStyle w:val="TableContents"/>
              <w:bidi w:val="0"/>
              <w:spacing w:before="0" w:after="283"/>
              <w:jc w:val="center"/>
              <w:rPr/>
            </w:pPr>
            <w:r>
              <w:rPr/>
              <w:t>Oct 2027</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061"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141"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66" w:type="dxa"/>
            <w:tcBorders/>
            <w:shd w:fill="FFFFFF" w:val="clear"/>
            <w:tcMar>
              <w:bottom w:w="0" w:type="dxa"/>
            </w:tcMar>
            <w:vAlign w:val="center"/>
          </w:tcPr>
          <w:p>
            <w:pPr>
              <w:pStyle w:val="TableContents"/>
              <w:bidi w:val="0"/>
              <w:spacing w:before="0" w:after="283"/>
              <w:jc w:val="center"/>
              <w:rPr/>
            </w:pPr>
            <w:r>
              <w:rPr/>
              <w:t>Self-Owned</w:t>
            </w:r>
          </w:p>
        </w:tc>
      </w:tr>
      <w:tr>
        <w:trPr/>
        <w:tc>
          <w:tcPr>
            <w:tcW w:w="965" w:type="dxa"/>
            <w:tcBorders/>
            <w:shd w:fill="CCEEFF" w:val="clear"/>
            <w:tcMar>
              <w:bottom w:w="0" w:type="dxa"/>
            </w:tcMar>
            <w:vAlign w:val="center"/>
          </w:tcPr>
          <w:p>
            <w:pPr>
              <w:pStyle w:val="TableContents"/>
              <w:bidi w:val="0"/>
              <w:spacing w:before="0" w:after="283"/>
              <w:jc w:val="left"/>
              <w:rPr>
                <w:b/>
              </w:rPr>
            </w:pPr>
            <w:r>
              <w:rPr>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7" w:type="dxa"/>
            <w:tcBorders/>
            <w:shd w:fill="CCEEFF" w:val="clear"/>
            <w:tcMar>
              <w:bottom w:w="0" w:type="dxa"/>
            </w:tcMar>
            <w:vAlign w:val="center"/>
          </w:tcPr>
          <w:p>
            <w:pPr>
              <w:pStyle w:val="TableContents"/>
              <w:bidi w:val="0"/>
              <w:spacing w:before="0" w:after="283"/>
              <w:jc w:val="center"/>
              <w:rPr>
                <w:b/>
              </w:rPr>
            </w:pPr>
            <w:r>
              <w:rPr>
                <w:b/>
              </w:rPr>
              <w:t>141.4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3"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4"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1"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1"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6" w:type="dxa"/>
            <w:tcBorders/>
            <w:shd w:fill="CCEE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As of the reporting date, A102’s capacity in Malaysia has been fully committed</w:t>
            </w:r>
            <w:r>
              <w:rPr/>
              <w:t xml:space="preserve"> under long-term offtake agreements ahead of energization, representing total expected revenue of over $800 million. Working on the contracts for the A201 facility now.</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 xml:space="preserve">Strong Customer Demand for GPUs: </w:t>
            </w:r>
            <w:r>
              <w:rPr/>
              <w:t>As demand for AI computing continues to grow, we have completed the procurement of 66 NVIDIA GB300 systems.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Model Service &amp; Token Optimization</w:t>
            </w:r>
            <w:r>
              <w:rPr/>
              <w:t>: Achieved Day-0 onboarding for NVIDIA Nemotron-3 Embed (1B &amp; 8B) and launched Kimi K3 at the first available opportunity. Strategic engineering resources are now focused on expanding open-source model offerings and ensuring high service availability and reliability.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 xml:space="preserve">European Market Footprint: </w:t>
            </w:r>
            <w:r>
              <w:rPr/>
              <w:t>Further established Bitdeer AI’s European presence through high-visibility participation at the RAISE Summit.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 xml:space="preserve">Ecosystem Acceleration: </w:t>
            </w:r>
            <w:r>
              <w:rPr/>
              <w:t>Co-hosted a month-long hackathon with NVIDIA, provisioning and mentoring 10 Southeast Asian teams with Bitdeer AI’s GPU compute and Model Studio to demonstrate cross-industry business use cases.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047750" cy="6953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47750" cy="6953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Crypto Mining Update: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CRYPTO Mining, R&amp;D, Manufacturing: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Mined 1,190 Bitcoins</w:t>
            </w:r>
            <w:r>
              <w:rPr>
                <w:rFonts w:ascii="Times New Roman;Times;Serif" w:hAnsi="Times New Roman;Times;Serif"/>
                <w:position w:val="8"/>
                <w:sz w:val="19"/>
              </w:rPr>
              <w:t>4</w:t>
            </w:r>
            <w:r>
              <w:rPr>
                <w:rFonts w:ascii="Times New Roman;Times;Serif" w:hAnsi="Times New Roman;Times;Serif"/>
              </w:rPr>
              <w:t>, an increase of 322% Y/Y; we continue to expect momentum in our mining results over the coming months.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Self-mining hash rate reached ~76.7 EH/s.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Co-mining hashrate of 18.7 EH/s driven by Co-Mining collaboration, using Bitdeer’s mining rigs operated by 3</w:t>
            </w:r>
            <w:r>
              <w:rPr>
                <w:rFonts w:ascii="Times New Roman;Times;Serif" w:hAnsi="Times New Roman;Times;Serif"/>
                <w:position w:val="8"/>
                <w:sz w:val="19"/>
              </w:rPr>
              <w:t>rd</w:t>
            </w:r>
            <w:r>
              <w:rPr>
                <w:rFonts w:ascii="Times New Roman;Times;Serif" w:hAnsi="Times New Roman;Times;Serif"/>
              </w:rPr>
              <w:t xml:space="preserve"> party datacenters.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Crypto Metrics:</w:t>
      </w:r>
    </w:p>
    <w:p>
      <w:pPr>
        <w:pStyle w:val="TextBody"/>
        <w:bidi w:val="0"/>
        <w:spacing w:before="0" w:after="0"/>
        <w:ind w:left="0" w:right="0" w:hanging="0"/>
        <w:jc w:val="both"/>
        <w:rPr>
          <w:caps w:val="false"/>
          <w:smallCaps w:val="false"/>
        </w:rPr>
      </w:pPr>
      <w:r>
        <w:rPr>
          <w:caps w:val="false"/>
          <w:smallCaps w:val="false"/>
        </w:rPr>
        <w:t> </w:t>
      </w:r>
    </w:p>
    <w:tbl>
      <w:tblPr>
        <w:tblW w:w="8132" w:type="dxa"/>
        <w:jc w:val="left"/>
        <w:tblInd w:w="0" w:type="dxa"/>
        <w:tblLayout w:type="fixed"/>
        <w:tblCellMar>
          <w:top w:w="0" w:type="dxa"/>
          <w:left w:w="0" w:type="dxa"/>
          <w:bottom w:w="28" w:type="dxa"/>
          <w:right w:w="0" w:type="dxa"/>
        </w:tblCellMar>
      </w:tblPr>
      <w:tblGrid>
        <w:gridCol w:w="4715"/>
        <w:gridCol w:w="60"/>
        <w:gridCol w:w="96"/>
        <w:gridCol w:w="898"/>
        <w:gridCol w:w="60"/>
        <w:gridCol w:w="60"/>
        <w:gridCol w:w="124"/>
        <w:gridCol w:w="930"/>
        <w:gridCol w:w="60"/>
        <w:gridCol w:w="60"/>
        <w:gridCol w:w="96"/>
        <w:gridCol w:w="898"/>
        <w:gridCol w:w="75"/>
      </w:tblGrid>
      <w:tr>
        <w:trPr/>
        <w:tc>
          <w:tcPr>
            <w:tcW w:w="4715" w:type="dxa"/>
            <w:tcBorders>
              <w:bottom w:val="single" w:sz="12" w:space="0" w:color="000000"/>
            </w:tcBorders>
            <w:vAlign w:val="center"/>
          </w:tcPr>
          <w:p>
            <w:pPr>
              <w:pStyle w:val="TableContents"/>
              <w:bidi w:val="0"/>
              <w:spacing w:before="0" w:after="283"/>
              <w:jc w:val="both"/>
              <w:rPr>
                <w:b/>
              </w:rPr>
            </w:pPr>
            <w:r>
              <w:rPr>
                <w:b/>
              </w:rPr>
              <w:t>Metric</w:t>
            </w:r>
          </w:p>
        </w:tc>
        <w:tc>
          <w:tcPr>
            <w:tcW w:w="60" w:type="dxa"/>
            <w:tcBorders/>
            <w:tcMar>
              <w:bottom w:w="0" w:type="dxa"/>
            </w:tcMar>
            <w:vAlign w:val="center"/>
          </w:tcPr>
          <w:p>
            <w:pPr>
              <w:pStyle w:val="TableContents"/>
              <w:bidi w:val="0"/>
              <w:spacing w:before="0" w:after="283"/>
              <w:jc w:val="left"/>
              <w:rPr/>
            </w:pPr>
            <w:r>
              <w:rPr/>
              <w:t> </w:t>
            </w:r>
          </w:p>
        </w:tc>
        <w:tc>
          <w:tcPr>
            <w:tcW w:w="994" w:type="dxa"/>
            <w:gridSpan w:val="2"/>
            <w:tcBorders>
              <w:bottom w:val="single" w:sz="12" w:space="0" w:color="000000"/>
            </w:tcBorders>
            <w:vAlign w:val="center"/>
          </w:tcPr>
          <w:p>
            <w:pPr>
              <w:pStyle w:val="TableContents"/>
              <w:bidi w:val="0"/>
              <w:spacing w:before="0" w:after="283"/>
              <w:jc w:val="center"/>
              <w:rPr>
                <w:b/>
              </w:rPr>
            </w:pPr>
            <w:r>
              <w:rPr>
                <w:b/>
              </w:rPr>
              <w:t>July 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4" w:type="dxa"/>
            <w:gridSpan w:val="2"/>
            <w:tcBorders>
              <w:bottom w:val="single" w:sz="12" w:space="0" w:color="000000"/>
            </w:tcBorders>
            <w:vAlign w:val="center"/>
          </w:tcPr>
          <w:p>
            <w:pPr>
              <w:pStyle w:val="TableContents"/>
              <w:bidi w:val="0"/>
              <w:spacing w:before="0" w:after="283"/>
              <w:jc w:val="center"/>
              <w:rPr>
                <w:b/>
              </w:rPr>
            </w:pPr>
            <w:r>
              <w:rPr>
                <w:b/>
              </w:rPr>
              <w:t>June 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94" w:type="dxa"/>
            <w:gridSpan w:val="2"/>
            <w:tcBorders>
              <w:bottom w:val="single" w:sz="12" w:space="0" w:color="000000"/>
            </w:tcBorders>
            <w:vAlign w:val="center"/>
          </w:tcPr>
          <w:p>
            <w:pPr>
              <w:pStyle w:val="TableContents"/>
              <w:bidi w:val="0"/>
              <w:spacing w:before="0" w:after="283"/>
              <w:jc w:val="center"/>
              <w:rPr>
                <w:b/>
              </w:rPr>
            </w:pPr>
            <w:r>
              <w:rPr>
                <w:b/>
              </w:rPr>
              <w:t>July 2025</w:t>
            </w:r>
          </w:p>
        </w:tc>
        <w:tc>
          <w:tcPr>
            <w:tcW w:w="75" w:type="dxa"/>
            <w:tcBorders/>
            <w:tcMar>
              <w:bottom w:w="0" w:type="dxa"/>
            </w:tcMar>
            <w:vAlign w:val="center"/>
          </w:tcPr>
          <w:p>
            <w:pPr>
              <w:pStyle w:val="TableContents"/>
              <w:bidi w:val="0"/>
              <w:spacing w:before="0" w:after="283"/>
              <w:jc w:val="left"/>
              <w:rPr/>
            </w:pPr>
            <w:r>
              <w:rPr/>
              <w:t> </w:t>
            </w:r>
          </w:p>
        </w:tc>
      </w:tr>
      <w:tr>
        <w:trPr/>
        <w:tc>
          <w:tcPr>
            <w:tcW w:w="8132" w:type="dxa"/>
            <w:gridSpan w:val="13"/>
            <w:tcBorders/>
            <w:tcMar>
              <w:bottom w:w="0" w:type="dxa"/>
            </w:tcMar>
            <w:vAlign w:val="center"/>
          </w:tcPr>
          <w:p>
            <w:pPr>
              <w:pStyle w:val="TableContents"/>
              <w:bidi w:val="0"/>
              <w:spacing w:before="0" w:after="283"/>
              <w:jc w:val="both"/>
              <w:rPr>
                <w:b/>
              </w:rPr>
            </w:pPr>
            <w:r>
              <w:rPr>
                <w:b/>
              </w:rPr>
              <w:t>Hash Rate Metrics:</w:t>
            </w:r>
          </w:p>
        </w:tc>
      </w:tr>
      <w:tr>
        <w:trPr/>
        <w:tc>
          <w:tcPr>
            <w:tcW w:w="4715" w:type="dxa"/>
            <w:tcBorders/>
            <w:shd w:fill="CCEEFF" w:val="clear"/>
            <w:tcMar>
              <w:bottom w:w="0" w:type="dxa"/>
            </w:tcMar>
            <w:vAlign w:val="center"/>
          </w:tcPr>
          <w:p>
            <w:pPr>
              <w:pStyle w:val="TableContents"/>
              <w:bidi w:val="0"/>
              <w:spacing w:before="0" w:after="283"/>
              <w:jc w:val="both"/>
              <w:rPr/>
            </w:pPr>
            <w:r>
              <w:rPr/>
              <w:t>Self-Mining (Operated in self-owned datacenters)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898" w:type="dxa"/>
            <w:tcBorders/>
            <w:shd w:fill="CCEEFF" w:val="clear"/>
            <w:tcMar>
              <w:bottom w:w="0" w:type="dxa"/>
            </w:tcMar>
            <w:vAlign w:val="center"/>
          </w:tcPr>
          <w:p>
            <w:pPr>
              <w:pStyle w:val="TableContents"/>
              <w:bidi w:val="0"/>
              <w:spacing w:before="0" w:after="283"/>
              <w:jc w:val="right"/>
              <w:rPr/>
            </w:pPr>
            <w:r>
              <w:rPr/>
              <w:t>76.7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930" w:type="dxa"/>
            <w:tcBorders/>
            <w:shd w:fill="CCEEFF" w:val="clear"/>
            <w:tcMar>
              <w:bottom w:w="0" w:type="dxa"/>
            </w:tcMar>
            <w:vAlign w:val="center"/>
          </w:tcPr>
          <w:p>
            <w:pPr>
              <w:pStyle w:val="TableContents"/>
              <w:bidi w:val="0"/>
              <w:spacing w:before="0" w:after="283"/>
              <w:jc w:val="right"/>
              <w:rPr/>
            </w:pPr>
            <w:r>
              <w:rPr/>
              <w:t>73.0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898" w:type="dxa"/>
            <w:tcBorders/>
            <w:shd w:fill="CCEEFF" w:val="clear"/>
            <w:tcMar>
              <w:bottom w:w="0" w:type="dxa"/>
            </w:tcMar>
            <w:vAlign w:val="center"/>
          </w:tcPr>
          <w:p>
            <w:pPr>
              <w:pStyle w:val="TableContents"/>
              <w:bidi w:val="0"/>
              <w:spacing w:before="0" w:after="283"/>
              <w:jc w:val="right"/>
              <w:rPr/>
            </w:pPr>
            <w:r>
              <w:rPr/>
              <w:t>22.3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71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Proprietary Hash Rate</w:t>
            </w:r>
            <w:r>
              <w:rPr>
                <w:rFonts w:ascii="Times New Roman;Times;Serif" w:hAnsi="Times New Roman;Times;Serif"/>
                <w:position w:val="7"/>
                <w:sz w:val="16"/>
                <w:sz w:val="20"/>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898" w:type="dxa"/>
            <w:tcBorders/>
            <w:shd w:fill="FFFFFF" w:val="clear"/>
            <w:tcMar>
              <w:bottom w:w="0" w:type="dxa"/>
            </w:tcMar>
            <w:vAlign w:val="center"/>
          </w:tcPr>
          <w:p>
            <w:pPr>
              <w:pStyle w:val="TableContents"/>
              <w:bidi w:val="0"/>
              <w:spacing w:before="0" w:after="283"/>
              <w:jc w:val="right"/>
              <w:rPr/>
            </w:pPr>
            <w:r>
              <w:rPr/>
              <w:t>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930" w:type="dxa"/>
            <w:tcBorders/>
            <w:shd w:fill="FFFFFF" w:val="clear"/>
            <w:tcMar>
              <w:bottom w:w="0" w:type="dxa"/>
            </w:tcMar>
            <w:vAlign w:val="center"/>
          </w:tcPr>
          <w:p>
            <w:pPr>
              <w:pStyle w:val="TableContents"/>
              <w:bidi w:val="0"/>
              <w:spacing w:before="0" w:after="283"/>
              <w:jc w:val="right"/>
              <w:rPr/>
            </w:pPr>
            <w:r>
              <w:rPr/>
              <w:t>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898" w:type="dxa"/>
            <w:tcBorders/>
            <w:shd w:fill="FFFFFF" w:val="clear"/>
            <w:tcMar>
              <w:bottom w:w="0" w:type="dxa"/>
            </w:tcMar>
            <w:vAlign w:val="center"/>
          </w:tcPr>
          <w:p>
            <w:pPr>
              <w:pStyle w:val="TableContents"/>
              <w:bidi w:val="0"/>
              <w:spacing w:before="0" w:after="283"/>
              <w:jc w:val="right"/>
              <w:rPr/>
            </w:pPr>
            <w:r>
              <w:rPr/>
              <w:t>0.2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715"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bottom w:val="single" w:sz="12" w:space="0" w:color="000000"/>
            </w:tcBorders>
            <w:shd w:fill="CCEEFF" w:val="clear"/>
            <w:vAlign w:val="center"/>
          </w:tcPr>
          <w:p>
            <w:pPr>
              <w:pStyle w:val="TableContents"/>
              <w:bidi w:val="0"/>
              <w:spacing w:before="0" w:after="283"/>
              <w:jc w:val="left"/>
              <w:rPr/>
            </w:pPr>
            <w:r>
              <w:rPr/>
              <w:t> </w:t>
            </w:r>
          </w:p>
        </w:tc>
        <w:tc>
          <w:tcPr>
            <w:tcW w:w="898" w:type="dxa"/>
            <w:tcBorders>
              <w:bottom w:val="single" w:sz="12" w:space="0" w:color="000000"/>
            </w:tcBorders>
            <w:shd w:fill="CCEEFF" w:val="cle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bottom w:val="single" w:sz="12" w:space="0" w:color="000000"/>
            </w:tcBorders>
            <w:shd w:fill="CCEEFF" w:val="clear"/>
            <w:vAlign w:val="center"/>
          </w:tcPr>
          <w:p>
            <w:pPr>
              <w:pStyle w:val="TableContents"/>
              <w:bidi w:val="0"/>
              <w:spacing w:before="0" w:after="283"/>
              <w:jc w:val="left"/>
              <w:rPr/>
            </w:pPr>
            <w:r>
              <w:rPr/>
              <w:t> </w:t>
            </w:r>
          </w:p>
        </w:tc>
        <w:tc>
          <w:tcPr>
            <w:tcW w:w="930" w:type="dxa"/>
            <w:tcBorders>
              <w:bottom w:val="single" w:sz="12" w:space="0" w:color="000000"/>
            </w:tcBorders>
            <w:shd w:fill="CCEEFF" w:val="cle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bottom w:val="single" w:sz="12" w:space="0" w:color="000000"/>
            </w:tcBorders>
            <w:shd w:fill="CCEEFF" w:val="clear"/>
            <w:vAlign w:val="center"/>
          </w:tcPr>
          <w:p>
            <w:pPr>
              <w:pStyle w:val="TableContents"/>
              <w:bidi w:val="0"/>
              <w:spacing w:before="0" w:after="283"/>
              <w:jc w:val="left"/>
              <w:rPr/>
            </w:pPr>
            <w:r>
              <w:rPr/>
              <w:t> </w:t>
            </w:r>
          </w:p>
        </w:tc>
        <w:tc>
          <w:tcPr>
            <w:tcW w:w="898" w:type="dxa"/>
            <w:tcBorders>
              <w:bottom w:val="single" w:sz="12" w:space="0" w:color="000000"/>
            </w:tcBorders>
            <w:shd w:fill="CCEEFF" w:val="cle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715" w:type="dxa"/>
            <w:tcBorders/>
            <w:shd w:fill="FFFF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Total Proprietary Hash Rate</w:t>
            </w:r>
            <w:r>
              <w:rPr>
                <w:rFonts w:ascii="Times New Roman;Times;Serif" w:hAnsi="Times New Roman;Times;Serif"/>
                <w:b/>
                <w:position w:val="7"/>
                <w:sz w:val="16"/>
                <w:sz w:val="20"/>
              </w:rPr>
              <w:t>6</w:t>
            </w:r>
            <w:r>
              <w:rPr>
                <w:rFonts w:ascii="Times New Roman;Times;Serif" w:hAnsi="Times New Roman;Times;Serif"/>
                <w:b/>
                <w:sz w:val="20"/>
              </w:rPr>
              <w:t xml:space="preserve"> (EH/s)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bottom w:val="single" w:sz="12" w:space="0" w:color="000000"/>
            </w:tcBorders>
            <w:shd w:fill="FFFFFF" w:val="clear"/>
            <w:vAlign w:val="center"/>
          </w:tcPr>
          <w:p>
            <w:pPr>
              <w:pStyle w:val="TableContents"/>
              <w:bidi w:val="0"/>
              <w:spacing w:before="0" w:after="283"/>
              <w:jc w:val="left"/>
              <w:rPr/>
            </w:pPr>
            <w:r>
              <w:rPr/>
              <w:t> </w:t>
            </w:r>
          </w:p>
        </w:tc>
        <w:tc>
          <w:tcPr>
            <w:tcW w:w="898" w:type="dxa"/>
            <w:tcBorders>
              <w:bottom w:val="single" w:sz="12" w:space="0" w:color="000000"/>
            </w:tcBorders>
            <w:shd w:fill="FFFFFF" w:val="clear"/>
            <w:vAlign w:val="center"/>
          </w:tcPr>
          <w:p>
            <w:pPr>
              <w:pStyle w:val="TableContents"/>
              <w:bidi w:val="0"/>
              <w:spacing w:before="0" w:after="283"/>
              <w:jc w:val="right"/>
              <w:rPr>
                <w:b/>
              </w:rPr>
            </w:pPr>
            <w:r>
              <w:rPr>
                <w:b/>
              </w:rPr>
              <w:t>81.7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bottom w:val="single" w:sz="12" w:space="0" w:color="000000"/>
            </w:tcBorders>
            <w:shd w:fill="FFFFFF" w:val="clear"/>
            <w:vAlign w:val="center"/>
          </w:tcPr>
          <w:p>
            <w:pPr>
              <w:pStyle w:val="TableContents"/>
              <w:bidi w:val="0"/>
              <w:spacing w:before="0" w:after="283"/>
              <w:jc w:val="left"/>
              <w:rPr/>
            </w:pPr>
            <w:r>
              <w:rPr/>
              <w:t> </w:t>
            </w:r>
          </w:p>
        </w:tc>
        <w:tc>
          <w:tcPr>
            <w:tcW w:w="930" w:type="dxa"/>
            <w:tcBorders>
              <w:bottom w:val="single" w:sz="12" w:space="0" w:color="000000"/>
            </w:tcBorders>
            <w:shd w:fill="FFFFFF" w:val="clear"/>
            <w:vAlign w:val="center"/>
          </w:tcPr>
          <w:p>
            <w:pPr>
              <w:pStyle w:val="TableContents"/>
              <w:bidi w:val="0"/>
              <w:spacing w:before="0" w:after="283"/>
              <w:jc w:val="right"/>
              <w:rPr>
                <w:b/>
              </w:rPr>
            </w:pPr>
            <w:r>
              <w:rPr>
                <w:b/>
              </w:rPr>
              <w:t>77.9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bottom w:val="single" w:sz="12" w:space="0" w:color="000000"/>
            </w:tcBorders>
            <w:shd w:fill="FFFFFF" w:val="clear"/>
            <w:vAlign w:val="center"/>
          </w:tcPr>
          <w:p>
            <w:pPr>
              <w:pStyle w:val="TableContents"/>
              <w:bidi w:val="0"/>
              <w:spacing w:before="0" w:after="283"/>
              <w:jc w:val="left"/>
              <w:rPr/>
            </w:pPr>
            <w:r>
              <w:rPr/>
              <w:t> </w:t>
            </w:r>
          </w:p>
        </w:tc>
        <w:tc>
          <w:tcPr>
            <w:tcW w:w="898" w:type="dxa"/>
            <w:tcBorders>
              <w:bottom w:val="single" w:sz="12" w:space="0" w:color="000000"/>
            </w:tcBorders>
            <w:shd w:fill="FFFFFF" w:val="clear"/>
            <w:vAlign w:val="center"/>
          </w:tcPr>
          <w:p>
            <w:pPr>
              <w:pStyle w:val="TableContents"/>
              <w:bidi w:val="0"/>
              <w:spacing w:before="0" w:after="283"/>
              <w:jc w:val="right"/>
              <w:rPr>
                <w:b/>
              </w:rPr>
            </w:pPr>
            <w:r>
              <w:rPr>
                <w:b/>
              </w:rPr>
              <w:t>22.5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715"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89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93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898"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71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Co-Mining (Operated by 3</w:t>
            </w:r>
            <w:r>
              <w:rPr>
                <w:rFonts w:ascii="Times New Roman;Times;Serif" w:hAnsi="Times New Roman;Times;Serif"/>
                <w:position w:val="7"/>
                <w:sz w:val="16"/>
                <w:sz w:val="20"/>
              </w:rPr>
              <w:t>rd</w:t>
            </w:r>
            <w:r>
              <w:rPr>
                <w:rFonts w:ascii="Times New Roman;Times;Serif" w:hAnsi="Times New Roman;Times;Serif"/>
                <w:sz w:val="20"/>
              </w:rPr>
              <w:t xml:space="preserve"> party datacenters)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898" w:type="dxa"/>
            <w:tcBorders/>
            <w:shd w:fill="FFFFFF" w:val="clear"/>
            <w:tcMar>
              <w:bottom w:w="0" w:type="dxa"/>
            </w:tcMar>
            <w:vAlign w:val="center"/>
          </w:tcPr>
          <w:p>
            <w:pPr>
              <w:pStyle w:val="TableContents"/>
              <w:bidi w:val="0"/>
              <w:spacing w:before="0" w:after="283"/>
              <w:jc w:val="right"/>
              <w:rPr/>
            </w:pPr>
            <w:r>
              <w:rPr/>
              <w:t>18.7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930" w:type="dxa"/>
            <w:tcBorders/>
            <w:shd w:fill="FFFFFF" w:val="clear"/>
            <w:tcMar>
              <w:bottom w:w="0" w:type="dxa"/>
            </w:tcMar>
            <w:vAlign w:val="center"/>
          </w:tcPr>
          <w:p>
            <w:pPr>
              <w:pStyle w:val="TableContents"/>
              <w:bidi w:val="0"/>
              <w:spacing w:before="0" w:after="283"/>
              <w:jc w:val="right"/>
              <w:rPr/>
            </w:pPr>
            <w:r>
              <w:rPr/>
              <w:t>15.9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898"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715"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89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93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898"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71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BTC Mined</w:t>
            </w:r>
            <w:r>
              <w:rPr>
                <w:rFonts w:ascii="Times New Roman;Times;Serif" w:hAnsi="Times New Roman;Times;Serif"/>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898" w:type="dxa"/>
            <w:tcBorders/>
            <w:shd w:fill="FFFFFF" w:val="clear"/>
            <w:tcMar>
              <w:bottom w:w="0" w:type="dxa"/>
            </w:tcMar>
            <w:vAlign w:val="center"/>
          </w:tcPr>
          <w:p>
            <w:pPr>
              <w:pStyle w:val="TableContents"/>
              <w:bidi w:val="0"/>
              <w:spacing w:before="0" w:after="283"/>
              <w:jc w:val="right"/>
              <w:rPr/>
            </w:pPr>
            <w:r>
              <w:rPr/>
              <w:t>1,190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930" w:type="dxa"/>
            <w:tcBorders/>
            <w:shd w:fill="FFFFFF" w:val="clear"/>
            <w:tcMar>
              <w:bottom w:w="0" w:type="dxa"/>
            </w:tcMar>
            <w:vAlign w:val="center"/>
          </w:tcPr>
          <w:p>
            <w:pPr>
              <w:pStyle w:val="TableContents"/>
              <w:bidi w:val="0"/>
              <w:spacing w:before="0" w:after="283"/>
              <w:jc w:val="right"/>
              <w:rPr/>
            </w:pPr>
            <w:r>
              <w:rPr/>
              <w:t>990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898" w:type="dxa"/>
            <w:tcBorders/>
            <w:shd w:fill="FFFFFF" w:val="clear"/>
            <w:tcMar>
              <w:bottom w:w="0" w:type="dxa"/>
            </w:tcMar>
            <w:vAlign w:val="center"/>
          </w:tcPr>
          <w:p>
            <w:pPr>
              <w:pStyle w:val="TableContents"/>
              <w:bidi w:val="0"/>
              <w:spacing w:before="0" w:after="283"/>
              <w:jc w:val="right"/>
              <w:rPr/>
            </w:pPr>
            <w:r>
              <w:rPr/>
              <w:t>282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71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BTC Held</w:t>
            </w:r>
            <w:r>
              <w:rPr>
                <w:rFonts w:ascii="Times New Roman;Times;Serif" w:hAnsi="Times New Roman;Times;Serif"/>
                <w:position w:val="7"/>
                <w:sz w:val="16"/>
                <w:sz w:val="20"/>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898" w:type="dxa"/>
            <w:tcBorders/>
            <w:shd w:fill="CCEEFF" w:val="clear"/>
            <w:tcMar>
              <w:bottom w:w="0" w:type="dxa"/>
            </w:tcMar>
            <w:vAlign w:val="center"/>
          </w:tcPr>
          <w:p>
            <w:pPr>
              <w:pStyle w:val="TableContents"/>
              <w:bidi w:val="0"/>
              <w:spacing w:before="0" w:after="283"/>
              <w:jc w:val="right"/>
              <w:rPr/>
            </w:pPr>
            <w:r>
              <w:rPr/>
              <w:t>257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930" w:type="dxa"/>
            <w:tcBorders/>
            <w:shd w:fill="CCEEFF" w:val="clear"/>
            <w:tcMar>
              <w:bottom w:w="0" w:type="dxa"/>
            </w:tcMar>
            <w:vAlign w:val="center"/>
          </w:tcPr>
          <w:p>
            <w:pPr>
              <w:pStyle w:val="TableContents"/>
              <w:bidi w:val="0"/>
              <w:spacing w:before="0" w:after="283"/>
              <w:jc w:val="right"/>
              <w:rPr/>
            </w:pPr>
            <w:r>
              <w:rPr/>
              <w:t>150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898" w:type="dxa"/>
            <w:tcBorders/>
            <w:shd w:fill="CCEEFF" w:val="clear"/>
            <w:tcMar>
              <w:bottom w:w="0" w:type="dxa"/>
            </w:tcMar>
            <w:vAlign w:val="center"/>
          </w:tcPr>
          <w:p>
            <w:pPr>
              <w:pStyle w:val="TableContents"/>
              <w:bidi w:val="0"/>
              <w:spacing w:before="0" w:after="283"/>
              <w:jc w:val="right"/>
              <w:rPr/>
            </w:pPr>
            <w:r>
              <w:rPr/>
              <w:t>1,667</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Infrastructure Summary: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Bitdeer will transition its infrastructure updates from a monthly reporting cadence to quarterly disclosures issued concurrently with its financial earnings releases, providing a more meaningful and integrated perspective on the Company’s development progress. The Company’s most recent infrastructure update was disclosed alongside its Q2 2026 financial results on August 10,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Upcoming Conferences &amp; Events:</w:t>
      </w:r>
    </w:p>
    <w:p>
      <w:pPr>
        <w:pStyle w:val="TextBody"/>
        <w:bidi w:val="0"/>
        <w:spacing w:before="0" w:after="0"/>
        <w:ind w:left="0" w:right="0" w:hanging="0"/>
        <w:jc w:val="both"/>
        <w:rPr>
          <w:caps w:val="false"/>
          <w:smallCaps w:val="false"/>
        </w:rPr>
      </w:pPr>
      <w:r>
        <w:rPr>
          <w:caps w:val="false"/>
          <w:smallCaps w:val="false"/>
        </w:rPr>
        <w:t> </w:t>
      </w:r>
    </w:p>
    <w:tbl>
      <w:tblPr>
        <w:tblW w:w="9408" w:type="dxa"/>
        <w:jc w:val="left"/>
        <w:tblInd w:w="0" w:type="dxa"/>
        <w:tblLayout w:type="fixed"/>
        <w:tblCellMar>
          <w:top w:w="0" w:type="dxa"/>
          <w:left w:w="0" w:type="dxa"/>
          <w:bottom w:w="0" w:type="dxa"/>
          <w:right w:w="0" w:type="dxa"/>
        </w:tblCellMar>
      </w:tblPr>
      <w:tblGrid>
        <w:gridCol w:w="38"/>
        <w:gridCol w:w="170"/>
        <w:gridCol w:w="92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H.C. Wainwright &amp; Co. 28</w:t>
            </w:r>
            <w:r>
              <w:rPr>
                <w:rFonts w:ascii="Times New Roman;Times;Serif" w:hAnsi="Times New Roman;Times;Serif"/>
                <w:position w:val="8"/>
                <w:sz w:val="19"/>
              </w:rPr>
              <w:t>th</w:t>
            </w:r>
            <w:r>
              <w:rPr>
                <w:rFonts w:ascii="Times New Roman;Times;Serif" w:hAnsi="Times New Roman;Times;Serif"/>
              </w:rPr>
              <w:t xml:space="preserve"> Annual Global Investment Conference – New York, September 14</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Footnotes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position w:val="8"/>
                <w:sz w:val="19"/>
              </w:rPr>
            </w:pPr>
            <w:r>
              <w:rPr>
                <w:position w:val="8"/>
                <w:sz w:val="19"/>
              </w:rPr>
              <w:t>1</w:t>
            </w:r>
          </w:p>
        </w:tc>
        <w:tc>
          <w:tcPr>
            <w:tcW w:w="10065" w:type="dxa"/>
            <w:tcBorders/>
            <w:vAlign w:val="center"/>
          </w:tcPr>
          <w:p>
            <w:pPr>
              <w:pStyle w:val="TableContents"/>
              <w:bidi w:val="0"/>
              <w:spacing w:before="0" w:after="283"/>
              <w:jc w:val="both"/>
              <w:rPr/>
            </w:pPr>
            <w:r>
              <w:rPr>
                <w:b/>
              </w:rPr>
              <w:t>ARR</w:t>
            </w:r>
            <w:r>
              <w:rPr/>
              <w:t xml:space="preserve"> as of the last day of the respective month is calculated by multiplying the daily revenue generated from all contractually obligated GPU orders on that specific day by 365. This metric provides an annualized view of the revenue run-rate based on active contracts at the end of the reporting period.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position w:val="8"/>
                <w:sz w:val="19"/>
              </w:rPr>
            </w:pPr>
            <w:r>
              <w:rPr>
                <w:position w:val="8"/>
                <w:sz w:val="19"/>
              </w:rPr>
              <w:t>2</w:t>
            </w:r>
          </w:p>
        </w:tc>
        <w:tc>
          <w:tcPr>
            <w:tcW w:w="10065" w:type="dxa"/>
            <w:tcBorders/>
            <w:vAlign w:val="center"/>
          </w:tcPr>
          <w:p>
            <w:pPr>
              <w:pStyle w:val="TableContents"/>
              <w:bidi w:val="0"/>
              <w:spacing w:before="0" w:after="283"/>
              <w:jc w:val="both"/>
              <w:rPr/>
            </w:pPr>
            <w:r>
              <w:rPr>
                <w:b/>
              </w:rPr>
              <w:t xml:space="preserve">Self-Mining (Operated in self-owned datacenters) </w:t>
            </w:r>
            <w:r>
              <w:rPr/>
              <w:t>refers to cryptocurrency mining for Bitdeer’s own account, whereby its mining rigs are operated in self-owned datacenters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position w:val="8"/>
                <w:sz w:val="19"/>
              </w:rPr>
            </w:pPr>
            <w:r>
              <w:rPr>
                <w:position w:val="8"/>
                <w:sz w:val="19"/>
              </w:rPr>
              <w:t>3</w:t>
            </w:r>
          </w:p>
        </w:tc>
        <w:tc>
          <w:tcPr>
            <w:tcW w:w="10065" w:type="dxa"/>
            <w:tcBorders/>
            <w:vAlign w:val="center"/>
          </w:tcPr>
          <w:p>
            <w:pPr>
              <w:pStyle w:val="TableContents"/>
              <w:bidi w:val="0"/>
              <w:spacing w:before="0" w:after="283"/>
              <w:jc w:val="both"/>
              <w:rPr/>
            </w:pPr>
            <w:r>
              <w:rPr>
                <w:b/>
              </w:rPr>
              <w:t>Co-mining (Operated by 3</w:t>
            </w:r>
            <w:r>
              <w:rPr>
                <w:b/>
                <w:position w:val="8"/>
                <w:sz w:val="19"/>
              </w:rPr>
              <w:t>rd</w:t>
            </w:r>
            <w:r>
              <w:rPr>
                <w:b/>
              </w:rPr>
              <w:t xml:space="preserve"> party datacenters) </w:t>
            </w:r>
            <w:r>
              <w:rPr/>
              <w:t>refers to cryptocurrency mining for Bitdeer’s own account, whereby its mining rigs are operated by third-party datacenters</w:t>
            </w:r>
          </w:p>
        </w:tc>
      </w:tr>
    </w:tbl>
    <w:p>
      <w:pPr>
        <w:pStyle w:val="TextBody"/>
        <w:bidi w:val="0"/>
        <w:spacing w:before="0" w:after="0"/>
        <w:ind w:left="0" w:right="0" w:hanging="0"/>
        <w:jc w:val="both"/>
        <w:rPr>
          <w:caps w:val="false"/>
          <w:smallCaps w:val="false"/>
        </w:rPr>
      </w:pPr>
      <w:r>
        <w:rPr>
          <w:caps w:val="false"/>
          <w:smallCaps w:val="false"/>
        </w:rPr>
        <w:t> </w:t>
      </w:r>
    </w:p>
    <w:tbl>
      <w:tblPr>
        <w:tblW w:w="7750" w:type="dxa"/>
        <w:jc w:val="left"/>
        <w:tblInd w:w="0" w:type="dxa"/>
        <w:tblLayout w:type="fixed"/>
        <w:tblCellMar>
          <w:top w:w="0" w:type="dxa"/>
          <w:left w:w="0" w:type="dxa"/>
          <w:bottom w:w="0" w:type="dxa"/>
          <w:right w:w="0" w:type="dxa"/>
        </w:tblCellMar>
      </w:tblPr>
      <w:tblGrid>
        <w:gridCol w:w="140"/>
        <w:gridCol w:w="7610"/>
      </w:tblGrid>
      <w:tr>
        <w:trPr/>
        <w:tc>
          <w:tcPr>
            <w:tcW w:w="140" w:type="dxa"/>
            <w:tcBorders/>
            <w:vAlign w:val="center"/>
          </w:tcPr>
          <w:p>
            <w:pPr>
              <w:pStyle w:val="TableContents"/>
              <w:bidi w:val="0"/>
              <w:spacing w:before="0" w:after="283"/>
              <w:jc w:val="left"/>
              <w:rPr>
                <w:position w:val="8"/>
                <w:sz w:val="19"/>
              </w:rPr>
            </w:pPr>
            <w:r>
              <w:rPr>
                <w:position w:val="8"/>
                <w:sz w:val="19"/>
              </w:rPr>
              <w:t>4</w:t>
            </w:r>
          </w:p>
        </w:tc>
        <w:tc>
          <w:tcPr>
            <w:tcW w:w="7610" w:type="dxa"/>
            <w:tcBorders/>
            <w:vAlign w:val="center"/>
          </w:tcPr>
          <w:p>
            <w:pPr>
              <w:pStyle w:val="TableContents"/>
              <w:bidi w:val="0"/>
              <w:spacing w:before="0" w:after="283"/>
              <w:jc w:val="both"/>
              <w:rPr/>
            </w:pPr>
            <w:r>
              <w:rPr/>
              <w:t>Includes BTC from self-mining operations and BTC from co-mining operations.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position w:val="8"/>
                <w:sz w:val="19"/>
              </w:rPr>
            </w:pPr>
            <w:r>
              <w:rPr>
                <w:position w:val="8"/>
                <w:sz w:val="19"/>
              </w:rPr>
              <w:t>5</w:t>
            </w:r>
          </w:p>
        </w:tc>
        <w:tc>
          <w:tcPr>
            <w:tcW w:w="10065" w:type="dxa"/>
            <w:tcBorders/>
            <w:vAlign w:val="center"/>
          </w:tcPr>
          <w:p>
            <w:pPr>
              <w:pStyle w:val="TableContents"/>
              <w:bidi w:val="0"/>
              <w:spacing w:before="0" w:after="283"/>
              <w:jc w:val="both"/>
              <w:rPr/>
            </w:pPr>
            <w:r>
              <w:rPr>
                <w:b/>
              </w:rPr>
              <w:t xml:space="preserve">Other Proprietary Hash Rate </w:t>
            </w:r>
            <w:r>
              <w:rPr/>
              <w:t>includes the hashrate from Bitdeer’s cloud hashrate business, mining rigs delivered in the crypto mining datacenters but not deployed and the mining rigs temporarily offline due to limited economic benefit.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position w:val="8"/>
                <w:sz w:val="19"/>
              </w:rPr>
            </w:pPr>
            <w:r>
              <w:rPr>
                <w:position w:val="8"/>
                <w:sz w:val="19"/>
              </w:rPr>
              <w:t>6</w:t>
            </w:r>
          </w:p>
        </w:tc>
        <w:tc>
          <w:tcPr>
            <w:tcW w:w="10065" w:type="dxa"/>
            <w:tcBorders/>
            <w:vAlign w:val="center"/>
          </w:tcPr>
          <w:p>
            <w:pPr>
              <w:pStyle w:val="TableContents"/>
              <w:bidi w:val="0"/>
              <w:spacing w:before="0" w:after="283"/>
              <w:jc w:val="both"/>
              <w:rPr/>
            </w:pPr>
            <w:r>
              <w:rPr>
                <w:b/>
              </w:rPr>
              <w:t xml:space="preserve">Total Proprietary Hash Rate </w:t>
            </w:r>
            <w:r>
              <w:rPr/>
              <w:t>as of July 31, 2026 includes Self-Mining Hash Rate and Other Proprietary Hash Rate.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position w:val="8"/>
                <w:sz w:val="19"/>
              </w:rPr>
            </w:pPr>
            <w:r>
              <w:rPr>
                <w:position w:val="8"/>
                <w:sz w:val="19"/>
              </w:rPr>
              <w:t>7</w:t>
            </w:r>
          </w:p>
        </w:tc>
        <w:tc>
          <w:tcPr>
            <w:tcW w:w="10065" w:type="dxa"/>
            <w:tcBorders/>
            <w:vAlign w:val="center"/>
          </w:tcPr>
          <w:p>
            <w:pPr>
              <w:pStyle w:val="TableContents"/>
              <w:bidi w:val="0"/>
              <w:spacing w:before="0" w:after="283"/>
              <w:jc w:val="both"/>
              <w:rPr/>
            </w:pPr>
            <w:r>
              <w:rPr>
                <w:b/>
              </w:rPr>
              <w:t xml:space="preserve">Bitcoins held </w:t>
            </w:r>
            <w:r>
              <w:rPr/>
              <w:t>does not include Bitcoins from customer deposits but does include Bitcoins that are pledged as collateral by us.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position w:val="8"/>
                <w:sz w:val="19"/>
              </w:rPr>
            </w:pPr>
            <w:r>
              <w:rPr>
                <w:position w:val="8"/>
                <w:sz w:val="19"/>
              </w:rPr>
              <w:t>8</w:t>
            </w:r>
          </w:p>
        </w:tc>
        <w:tc>
          <w:tcPr>
            <w:tcW w:w="10065" w:type="dxa"/>
            <w:tcBorders/>
            <w:vAlign w:val="center"/>
          </w:tcPr>
          <w:p>
            <w:pPr>
              <w:pStyle w:val="TableContents"/>
              <w:bidi w:val="0"/>
              <w:spacing w:before="0" w:after="283"/>
              <w:jc w:val="both"/>
              <w:rPr/>
            </w:pPr>
            <w:r>
              <w:rPr>
                <w:b/>
              </w:rPr>
              <w:t xml:space="preserve">Utilization Rate </w:t>
            </w:r>
            <w:r>
              <w:rPr/>
              <w:t>as of the last day of the respective month is calculated as the total number of GPUs under internal and external orders divided by the total number of deployed GPUs.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047750" cy="6953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47750" cy="6953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Bitdeer Technologies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Bitdeer is a world-leading technology company for AI and Bitcoin mining infrastructure. Bitdeer is committed to providing comprehensive Bitcoin mining solutions for its customers and building AI computational infrastructure to support the AI revolution. Bitdeer handles complex processes involved in computing such as equipment procurement, transport logistics, data center design and construction, equipment management, and daily operations. Bitdeer also offers advanced cloud capabilities to customers with high demand for artificial intelligence. Headquartered in Singapore, Bitdeer has deployed data centers across multiple countries, including the United States, Norway, Bhutan, and Ethiopia. To learn more, visit https://ir.bitdeer.com/ or follow Bitdeer on X</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Bitdeer and LinkedIn @Bitdeer.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others should note that Bitdeer may announce material information using its website and/or on its accounts on social media platforms, including X, formerly known as Twitter, Facebook, and LinkedIn. Therefore, Bitdeer encourages investors and others to review the information it posts on social media and other communication channels listed on its website.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The words “anticipate,” “look forward to,”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 of various important factors, including factors discussed in the section entitled “Risk Factors” in Bitdeer’s annual report on Form 20-F, as well as discussions of potential risks, uncertainties, and other important factors in Bitdeer’s subsequent filings with the U.S. Securities and Exchange Commission. Any forward-looking statements contained in this press release speak only as of the date hereof. Bitdeer specifically disclaims any obligation to update any forward-looking statement, whether due to new information, future events, or otherwise. Readers should not rely upon the information on this page as current or accurate after its publication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and media inquiries, please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Tesh Dahya, Head of 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tesh.dahya@bitdeer.com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Elev8 New Media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Jessica Starman, MBA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bitdeer@elev8newmedia.com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1629</Words>
  <Characters>9394</Characters>
  <CharactersWithSpaces>11120</CharactersWithSpaces>
  <Paragraphs>533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