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473-6k_bitdeer.htm"/>
      <w:bookmarkStart w:id="1" w:name="ksea03064736k_bitdee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current report on Form 6-K is hereby incorporated by reference in the registration statements of Bitdeer Technologies Group on Form F-3 (No. </w:t>
      </w:r>
      <w:hyperlink r:id="rId2">
        <w:r>
          <w:rPr>
            <w:rStyle w:val="InternetLink"/>
            <w:rFonts w:ascii="Times New Roman;Times;Serif" w:hAnsi="Times New Roman;Times;Serif"/>
            <w:b w:val="false"/>
            <w:i w:val="false"/>
            <w:caps w:val="false"/>
            <w:smallCaps w:val="false"/>
            <w:sz w:val="20"/>
          </w:rPr>
          <w:t>333-273905</w:t>
        </w:r>
      </w:hyperlink>
      <w:r>
        <w:rPr>
          <w:rFonts w:ascii="Times New Roman;Times;Serif" w:hAnsi="Times New Roman;Times;Serif"/>
          <w:b w:val="false"/>
          <w:i w:val="false"/>
          <w:caps w:val="false"/>
          <w:smallCaps w:val="false"/>
          <w:sz w:val="20"/>
        </w:rPr>
        <w:t xml:space="preserve">, No. </w:t>
      </w:r>
      <w:hyperlink r:id="rId3">
        <w:r>
          <w:rPr>
            <w:rStyle w:val="InternetLink"/>
            <w:rFonts w:ascii="Times New Roman;Times;Serif" w:hAnsi="Times New Roman;Times;Serif"/>
            <w:b w:val="false"/>
            <w:i w:val="false"/>
            <w:caps w:val="false"/>
            <w:smallCaps w:val="false"/>
            <w:sz w:val="20"/>
          </w:rPr>
          <w:t>333-278027</w:t>
        </w:r>
      </w:hyperlink>
      <w:r>
        <w:rPr>
          <w:rFonts w:ascii="Times New Roman;Times;Serif" w:hAnsi="Times New Roman;Times;Serif"/>
          <w:b w:val="false"/>
          <w:i w:val="false"/>
          <w:caps w:val="false"/>
          <w:smallCaps w:val="false"/>
          <w:sz w:val="20"/>
        </w:rPr>
        <w:t xml:space="preserve">, No. </w:t>
      </w:r>
      <w:hyperlink r:id="rId4">
        <w:r>
          <w:rPr>
            <w:rStyle w:val="InternetLink"/>
            <w:rFonts w:ascii="Times New Roman;Times;Serif" w:hAnsi="Times New Roman;Times;Serif"/>
            <w:b w:val="false"/>
            <w:i w:val="false"/>
            <w:caps w:val="false"/>
            <w:smallCaps w:val="false"/>
            <w:sz w:val="20"/>
          </w:rPr>
          <w:t>333-278029</w:t>
        </w:r>
      </w:hyperlink>
      <w:r>
        <w:rPr>
          <w:rFonts w:ascii="Times New Roman;Times;Serif" w:hAnsi="Times New Roman;Times;Serif"/>
          <w:b w:val="false"/>
          <w:i w:val="false"/>
          <w:caps w:val="false"/>
          <w:smallCaps w:val="false"/>
          <w:sz w:val="20"/>
        </w:rPr>
        <w:t xml:space="preserve">, No. </w:t>
      </w:r>
      <w:hyperlink r:id="rId5">
        <w:r>
          <w:rPr>
            <w:rStyle w:val="InternetLink"/>
            <w:rFonts w:ascii="Times New Roman;Times;Serif" w:hAnsi="Times New Roman;Times;Serif"/>
            <w:b w:val="false"/>
            <w:i w:val="false"/>
            <w:caps w:val="false"/>
            <w:smallCaps w:val="false"/>
            <w:sz w:val="20"/>
          </w:rPr>
          <w:t>333-280041</w:t>
        </w:r>
      </w:hyperlink>
      <w:r>
        <w:rPr>
          <w:rFonts w:ascii="Times New Roman;Times;Serif" w:hAnsi="Times New Roman;Times;Serif"/>
          <w:b w:val="false"/>
          <w:i w:val="false"/>
          <w:caps w:val="false"/>
          <w:smallCaps w:val="false"/>
          <w:sz w:val="20"/>
        </w:rPr>
        <w:t xml:space="preserve">, No. </w:t>
      </w:r>
      <w:hyperlink r:id="rId6">
        <w:r>
          <w:rPr>
            <w:rStyle w:val="InternetLink"/>
            <w:rFonts w:ascii="Times New Roman;Times;Serif" w:hAnsi="Times New Roman;Times;Serif"/>
            <w:b w:val="false"/>
            <w:i w:val="false"/>
            <w:caps w:val="false"/>
            <w:smallCaps w:val="false"/>
            <w:sz w:val="20"/>
          </w:rPr>
          <w:t>333-283732</w:t>
        </w:r>
      </w:hyperlink>
      <w:r>
        <w:rPr>
          <w:rFonts w:ascii="Times New Roman;Times;Serif" w:hAnsi="Times New Roman;Times;Serif"/>
          <w:b w:val="false"/>
          <w:i w:val="false"/>
          <w:caps w:val="false"/>
          <w:smallCaps w:val="false"/>
          <w:sz w:val="20"/>
        </w:rPr>
        <w:t xml:space="preserve">, No. </w:t>
      </w:r>
      <w:hyperlink r:id="rId7">
        <w:r>
          <w:rPr>
            <w:rStyle w:val="InternetLink"/>
            <w:rFonts w:ascii="Times New Roman;Times;Serif" w:hAnsi="Times New Roman;Times;Serif"/>
            <w:b w:val="false"/>
            <w:i w:val="false"/>
            <w:caps w:val="false"/>
            <w:smallCaps w:val="false"/>
            <w:sz w:val="20"/>
          </w:rPr>
          <w:t>333-289855</w:t>
        </w:r>
      </w:hyperlink>
      <w:r>
        <w:rPr>
          <w:rFonts w:ascii="Times New Roman;Times;Serif" w:hAnsi="Times New Roman;Times;Serif"/>
          <w:b w:val="false"/>
          <w:i w:val="false"/>
          <w:caps w:val="false"/>
          <w:smallCaps w:val="false"/>
          <w:sz w:val="20"/>
        </w:rPr>
        <w:t xml:space="preserve"> and No. </w:t>
      </w:r>
      <w:hyperlink r:id="rId8">
        <w:r>
          <w:rPr>
            <w:rStyle w:val="InternetLink"/>
            <w:rFonts w:ascii="Times New Roman;Times;Serif" w:hAnsi="Times New Roman;Times;Serif"/>
            <w:b w:val="false"/>
            <w:i w:val="false"/>
            <w:caps w:val="false"/>
            <w:smallCaps w:val="false"/>
            <w:sz w:val="20"/>
          </w:rPr>
          <w:t>333-298172</w:t>
        </w:r>
      </w:hyperlink>
      <w:r>
        <w:rPr>
          <w:rFonts w:ascii="Times New Roman;Times;Serif" w:hAnsi="Times New Roman;Times;Serif"/>
          <w:b w:val="false"/>
          <w:i w:val="false"/>
          <w:caps w:val="false"/>
          <w:smallCaps w:val="false"/>
          <w:sz w:val="20"/>
        </w:rPr>
        <w:t xml:space="preserve">) and Form S-8 (No. </w:t>
      </w:r>
      <w:hyperlink r:id="rId9">
        <w:r>
          <w:rPr>
            <w:rStyle w:val="InternetLink"/>
            <w:rFonts w:ascii="Times New Roman;Times;Serif" w:hAnsi="Times New Roman;Times;Serif"/>
            <w:b w:val="false"/>
            <w:i w:val="false"/>
            <w:caps w:val="false"/>
            <w:smallCaps w:val="false"/>
            <w:sz w:val="20"/>
          </w:rPr>
          <w:t>333-272858</w:t>
        </w:r>
      </w:hyperlink>
      <w:r>
        <w:rPr>
          <w:rFonts w:ascii="Times New Roman;Times;Serif" w:hAnsi="Times New Roman;Times;Serif"/>
          <w:b w:val="false"/>
          <w:i w:val="false"/>
          <w:caps w:val="false"/>
          <w:smallCaps w:val="false"/>
          <w:sz w:val="20"/>
        </w:rPr>
        <w:t xml:space="preserve"> and No. </w:t>
      </w:r>
      <w:hyperlink r:id="rId10">
        <w:r>
          <w:rPr>
            <w:rStyle w:val="InternetLink"/>
            <w:rFonts w:ascii="Times New Roman;Times;Serif" w:hAnsi="Times New Roman;Times;Serif"/>
            <w:b w:val="false"/>
            <w:i w:val="false"/>
            <w:caps w:val="false"/>
            <w:smallCaps w:val="false"/>
            <w:sz w:val="20"/>
          </w:rPr>
          <w:t>333-275342</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8"/>
        <w:gridCol w:w="60"/>
        <w:gridCol w:w="9147"/>
      </w:tblGrid>
      <w:tr>
        <w:trPr/>
        <w:tc>
          <w:tcPr>
            <w:tcW w:w="998"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47"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998"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7" w:type="dxa"/>
            <w:tcBorders/>
            <w:shd w:fill="CCEEFF" w:val="clear"/>
            <w:tcMar>
              <w:bottom w:w="0" w:type="dxa"/>
            </w:tcMar>
            <w:vAlign w:val="center"/>
          </w:tcPr>
          <w:p>
            <w:pPr>
              <w:pStyle w:val="TableContents"/>
              <w:bidi w:val="0"/>
              <w:spacing w:before="0" w:after="283"/>
              <w:jc w:val="both"/>
              <w:rPr/>
            </w:pPr>
            <w:hyperlink w:anchor="ea030647301ex99-1.htm">
              <w:r>
                <w:rPr>
                  <w:rStyle w:val="InternetLink"/>
                </w:rPr>
                <w:t>Unaudited Interim Condensed Consolidated Financial Statements for the Six Months Ended June 30, 2026 and 2025</w:t>
              </w:r>
            </w:hyperlink>
          </w:p>
        </w:tc>
      </w:tr>
      <w:tr>
        <w:trPr/>
        <w:tc>
          <w:tcPr>
            <w:tcW w:w="998"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47" w:type="dxa"/>
            <w:tcBorders/>
            <w:shd w:fill="FFFFFF" w:val="clear"/>
            <w:tcMar>
              <w:bottom w:w="0" w:type="dxa"/>
            </w:tcMar>
            <w:vAlign w:val="center"/>
          </w:tcPr>
          <w:p>
            <w:pPr>
              <w:pStyle w:val="TableContents"/>
              <w:bidi w:val="0"/>
              <w:spacing w:before="0" w:after="283"/>
              <w:jc w:val="both"/>
              <w:rPr/>
            </w:pPr>
            <w:hyperlink w:anchor="ea030647301ex99-2.htm">
              <w:r>
                <w:rPr>
                  <w:rStyle w:val="InternetLink"/>
                </w:rPr>
                <w:t>Recent Developments</w:t>
              </w:r>
            </w:hyperlink>
          </w:p>
        </w:tc>
      </w:tr>
      <w:tr>
        <w:trPr/>
        <w:tc>
          <w:tcPr>
            <w:tcW w:w="998" w:type="dxa"/>
            <w:tcBorders/>
            <w:shd w:fill="CCEEFF" w:val="clear"/>
            <w:tcMar>
              <w:bottom w:w="0" w:type="dxa"/>
            </w:tcMar>
            <w:vAlign w:val="center"/>
          </w:tcPr>
          <w:p>
            <w:pPr>
              <w:pStyle w:val="TableContents"/>
              <w:bidi w:val="0"/>
              <w:spacing w:before="0" w:after="283"/>
              <w:jc w:val="left"/>
              <w:rPr/>
            </w:pPr>
            <w:r>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7" w:type="dxa"/>
            <w:tcBorders/>
            <w:shd w:fill="CCEEFF" w:val="clear"/>
            <w:tcMar>
              <w:bottom w:w="0" w:type="dxa"/>
            </w:tcMar>
            <w:vAlign w:val="center"/>
          </w:tcPr>
          <w:p>
            <w:pPr>
              <w:pStyle w:val="TableContents"/>
              <w:bidi w:val="0"/>
              <w:spacing w:before="0" w:after="283"/>
              <w:jc w:val="both"/>
              <w:rPr/>
            </w:pPr>
            <w:r>
              <w:rPr/>
              <w:t>Inline XBRL Instance Document – this instance document does not appear in the Interactive Data File because its XBRL tags are embedded within the Inline XBRL document</w:t>
            </w:r>
          </w:p>
        </w:tc>
      </w:tr>
      <w:tr>
        <w:trPr/>
        <w:tc>
          <w:tcPr>
            <w:tcW w:w="998" w:type="dxa"/>
            <w:tcBorders/>
            <w:shd w:fill="FFFFFF" w:val="clear"/>
            <w:tcMar>
              <w:bottom w:w="0" w:type="dxa"/>
            </w:tcMar>
            <w:vAlign w:val="center"/>
          </w:tcPr>
          <w:p>
            <w:pPr>
              <w:pStyle w:val="TableContents"/>
              <w:bidi w:val="0"/>
              <w:spacing w:before="0" w:after="283"/>
              <w:jc w:val="left"/>
              <w:rPr/>
            </w:pPr>
            <w:r>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47" w:type="dxa"/>
            <w:tcBorders/>
            <w:shd w:fill="FFFFFF" w:val="clear"/>
            <w:tcMar>
              <w:bottom w:w="0" w:type="dxa"/>
            </w:tcMar>
            <w:vAlign w:val="center"/>
          </w:tcPr>
          <w:p>
            <w:pPr>
              <w:pStyle w:val="TableContents"/>
              <w:bidi w:val="0"/>
              <w:spacing w:before="0" w:after="283"/>
              <w:jc w:val="both"/>
              <w:rPr/>
            </w:pPr>
            <w:r>
              <w:rPr/>
              <w:t>Inline XBRL Taxonomy Extension Schema</w:t>
            </w:r>
          </w:p>
        </w:tc>
      </w:tr>
      <w:tr>
        <w:trPr/>
        <w:tc>
          <w:tcPr>
            <w:tcW w:w="998" w:type="dxa"/>
            <w:tcBorders/>
            <w:shd w:fill="CCEEFF" w:val="clear"/>
            <w:tcMar>
              <w:bottom w:w="0" w:type="dxa"/>
            </w:tcMar>
            <w:vAlign w:val="center"/>
          </w:tcPr>
          <w:p>
            <w:pPr>
              <w:pStyle w:val="TableContents"/>
              <w:bidi w:val="0"/>
              <w:spacing w:before="0" w:after="283"/>
              <w:jc w:val="left"/>
              <w:rPr/>
            </w:pPr>
            <w:r>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7" w:type="dxa"/>
            <w:tcBorders/>
            <w:shd w:fill="CCEEFF" w:val="clear"/>
            <w:tcMar>
              <w:bottom w:w="0" w:type="dxa"/>
            </w:tcMar>
            <w:vAlign w:val="center"/>
          </w:tcPr>
          <w:p>
            <w:pPr>
              <w:pStyle w:val="TableContents"/>
              <w:bidi w:val="0"/>
              <w:spacing w:before="0" w:after="283"/>
              <w:jc w:val="both"/>
              <w:rPr/>
            </w:pPr>
            <w:r>
              <w:rPr/>
              <w:t>Inline XBRL Taxonomy Extension Calculation Linkbase</w:t>
            </w:r>
          </w:p>
        </w:tc>
      </w:tr>
      <w:tr>
        <w:trPr/>
        <w:tc>
          <w:tcPr>
            <w:tcW w:w="998" w:type="dxa"/>
            <w:tcBorders/>
            <w:shd w:fill="FFFFFF" w:val="clear"/>
            <w:tcMar>
              <w:bottom w:w="0" w:type="dxa"/>
            </w:tcMar>
            <w:vAlign w:val="center"/>
          </w:tcPr>
          <w:p>
            <w:pPr>
              <w:pStyle w:val="TableContents"/>
              <w:bidi w:val="0"/>
              <w:spacing w:before="0" w:after="283"/>
              <w:jc w:val="left"/>
              <w:rPr/>
            </w:pPr>
            <w:r>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47" w:type="dxa"/>
            <w:tcBorders/>
            <w:shd w:fill="FFFFFF" w:val="clear"/>
            <w:tcMar>
              <w:bottom w:w="0" w:type="dxa"/>
            </w:tcMar>
            <w:vAlign w:val="center"/>
          </w:tcPr>
          <w:p>
            <w:pPr>
              <w:pStyle w:val="TableContents"/>
              <w:bidi w:val="0"/>
              <w:spacing w:before="0" w:after="283"/>
              <w:jc w:val="both"/>
              <w:rPr/>
            </w:pPr>
            <w:r>
              <w:rPr/>
              <w:t>Inline XBRL Taxonomy Extension Definition Linkbase</w:t>
            </w:r>
          </w:p>
        </w:tc>
      </w:tr>
      <w:tr>
        <w:trPr/>
        <w:tc>
          <w:tcPr>
            <w:tcW w:w="998" w:type="dxa"/>
            <w:tcBorders/>
            <w:shd w:fill="CCEEFF" w:val="clear"/>
            <w:tcMar>
              <w:bottom w:w="0" w:type="dxa"/>
            </w:tcMar>
            <w:vAlign w:val="center"/>
          </w:tcPr>
          <w:p>
            <w:pPr>
              <w:pStyle w:val="TableContents"/>
              <w:bidi w:val="0"/>
              <w:spacing w:before="0" w:after="283"/>
              <w:jc w:val="left"/>
              <w:rPr/>
            </w:pPr>
            <w:r>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7" w:type="dxa"/>
            <w:tcBorders/>
            <w:shd w:fill="CCEEFF" w:val="clear"/>
            <w:tcMar>
              <w:bottom w:w="0" w:type="dxa"/>
            </w:tcMar>
            <w:vAlign w:val="center"/>
          </w:tcPr>
          <w:p>
            <w:pPr>
              <w:pStyle w:val="TableContents"/>
              <w:bidi w:val="0"/>
              <w:spacing w:before="0" w:after="283"/>
              <w:jc w:val="both"/>
              <w:rPr/>
            </w:pPr>
            <w:r>
              <w:rPr/>
              <w:t>Inline XBRL Taxonomy Extension Label Linkbase</w:t>
            </w:r>
          </w:p>
        </w:tc>
      </w:tr>
      <w:tr>
        <w:trPr/>
        <w:tc>
          <w:tcPr>
            <w:tcW w:w="998" w:type="dxa"/>
            <w:tcBorders/>
            <w:shd w:fill="FFFFFF" w:val="clear"/>
            <w:tcMar>
              <w:bottom w:w="0" w:type="dxa"/>
            </w:tcMar>
            <w:vAlign w:val="center"/>
          </w:tcPr>
          <w:p>
            <w:pPr>
              <w:pStyle w:val="TableContents"/>
              <w:bidi w:val="0"/>
              <w:spacing w:before="0" w:after="283"/>
              <w:jc w:val="left"/>
              <w:rPr/>
            </w:pPr>
            <w:r>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47" w:type="dxa"/>
            <w:tcBorders/>
            <w:shd w:fill="FFFFFF" w:val="clear"/>
            <w:tcMar>
              <w:bottom w:w="0" w:type="dxa"/>
            </w:tcMar>
            <w:vAlign w:val="center"/>
          </w:tcPr>
          <w:p>
            <w:pPr>
              <w:pStyle w:val="TableContents"/>
              <w:bidi w:val="0"/>
              <w:spacing w:before="0" w:after="283"/>
              <w:jc w:val="both"/>
              <w:rPr/>
            </w:pPr>
            <w:r>
              <w:rPr/>
              <w:t>Inline XBRL Taxonomy Extension Presentation Linkbase</w:t>
            </w:r>
          </w:p>
        </w:tc>
      </w:tr>
      <w:tr>
        <w:trPr/>
        <w:tc>
          <w:tcPr>
            <w:tcW w:w="998"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7" w:type="dxa"/>
            <w:tcBorders/>
            <w:shd w:fill="CCEEFF" w:val="clear"/>
            <w:tcMar>
              <w:bottom w:w="0" w:type="dxa"/>
            </w:tcMar>
            <w:vAlign w:val="center"/>
          </w:tcPr>
          <w:p>
            <w:pPr>
              <w:pStyle w:val="TableContents"/>
              <w:bidi w:val="0"/>
              <w:spacing w:before="0" w:after="283"/>
              <w:jc w:val="both"/>
              <w:rPr/>
            </w:pPr>
            <w:r>
              <w:rPr/>
              <w:t>Cover Page Interactive Data File (embedded within the Inline IXBRL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650"/>
        <w:gridCol w:w="4940"/>
      </w:tblGrid>
      <w:tr>
        <w:trPr/>
        <w:tc>
          <w:tcPr>
            <w:tcW w:w="75" w:type="dxa"/>
            <w:tcBorders/>
            <w:vAlign w:val="center"/>
          </w:tcPr>
          <w:p>
            <w:pPr>
              <w:pStyle w:val="TableContents"/>
              <w:bidi w:val="0"/>
              <w:spacing w:before="0" w:after="283"/>
              <w:jc w:val="left"/>
              <w:rPr/>
            </w:pPr>
            <w:r>
              <w:rPr/>
              <w:t> </w:t>
            </w:r>
          </w:p>
        </w:tc>
        <w:tc>
          <w:tcPr>
            <w:tcW w:w="5590" w:type="dxa"/>
            <w:gridSpan w:val="2"/>
            <w:tcBorders/>
            <w:vAlign w:val="center"/>
          </w:tcPr>
          <w:p>
            <w:pPr>
              <w:pStyle w:val="TableContents"/>
              <w:bidi w:val="0"/>
              <w:spacing w:before="0" w:after="283"/>
              <w:jc w:val="left"/>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55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940" w:type="dxa"/>
            <w:tcBorders>
              <w:bottom w:val="single" w:sz="12" w:space="0" w:color="000000"/>
            </w:tcBorders>
            <w:tcMar>
              <w:bottom w:w="28" w:type="dxa"/>
            </w:tcMar>
            <w:vAlign w:val="center"/>
          </w:tcPr>
          <w:p>
            <w:pPr>
              <w:pStyle w:val="TableContents"/>
              <w:bidi w:val="0"/>
              <w:spacing w:before="0" w:after="283"/>
              <w:jc w:val="left"/>
              <w:rPr/>
            </w:pPr>
            <w:r>
              <w:rPr/>
              <w:t>/s/ 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940" w:type="dxa"/>
            <w:tcBorders/>
            <w:vAlign w:val="center"/>
          </w:tcPr>
          <w:p>
            <w:pPr>
              <w:pStyle w:val="TableContents"/>
              <w:bidi w:val="0"/>
              <w:spacing w:before="0" w:after="283"/>
              <w:jc w:val="left"/>
              <w:rPr/>
            </w:pPr>
            <w:r>
              <w:rPr/>
              <w:t>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940" w:type="dxa"/>
            <w:tcBorders/>
            <w:vAlign w:val="center"/>
          </w:tcPr>
          <w:p>
            <w:pPr>
              <w:pStyle w:val="TableContents"/>
              <w:bidi w:val="0"/>
              <w:spacing w:before="0" w:after="283"/>
              <w:jc w:val="left"/>
              <w:rPr/>
            </w:pPr>
            <w:r>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47301ex99-1.htm"/>
      <w:bookmarkStart w:id="3" w:name="ksea030647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29"/>
        <w:gridCol w:w="60"/>
        <w:gridCol w:w="416"/>
      </w:tblGrid>
      <w:tr>
        <w:trPr/>
        <w:tc>
          <w:tcPr>
            <w:tcW w:w="972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2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 as of June 30, 2026 and December 31, 2025 and for the Six Months Ended June 30, 2026 and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729"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Consolidated Balance Sheets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29"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Consolidated Statements of Operations and Comprehensive Income (Loss)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29"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Consolidated Statements of Changes in Shareholders’ Equity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29"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29"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a_001"/>
      <w:bookmarkEnd w:id="4"/>
      <w:r>
        <w:rPr>
          <w:rFonts w:ascii="Times New Roman;Times;Serif" w:hAnsi="Times New Roman;Times;Serif"/>
          <w:b/>
          <w:i w:val="false"/>
          <w:caps w:val="false"/>
          <w:smallCaps w:val="false"/>
          <w:sz w:val="20"/>
        </w:rPr>
        <w:t>BITDEER TECHNOLOGIES GROUP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BALANCE SHEETS (UNAUDITED)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8104" w:type="dxa"/>
        <w:jc w:val="left"/>
        <w:tblInd w:w="0" w:type="dxa"/>
        <w:tblLayout w:type="fixed"/>
        <w:tblCellMar>
          <w:top w:w="0" w:type="dxa"/>
          <w:left w:w="0" w:type="dxa"/>
          <w:bottom w:w="0" w:type="dxa"/>
          <w:right w:w="0" w:type="dxa"/>
        </w:tblCellMar>
      </w:tblPr>
      <w:tblGrid>
        <w:gridCol w:w="4295"/>
        <w:gridCol w:w="60"/>
        <w:gridCol w:w="500"/>
        <w:gridCol w:w="60"/>
        <w:gridCol w:w="60"/>
        <w:gridCol w:w="980"/>
        <w:gridCol w:w="60"/>
        <w:gridCol w:w="60"/>
        <w:gridCol w:w="111"/>
        <w:gridCol w:w="1843"/>
        <w:gridCol w:w="75"/>
      </w:tblGrid>
      <w:tr>
        <w:trPr/>
        <w:tc>
          <w:tcPr>
            <w:tcW w:w="42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456,838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149,352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Restricted cash, current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22,366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Digital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85,488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Digital assets receivables from a related party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162,171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135,558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31,374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9,654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698,291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251,999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4,976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Derivative assets, current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1,389,058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Restricted cash, noncurrent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6,159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24,681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Long-term investments,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39,081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104,725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2,098,296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1,086,275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93,432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843" w:type="dxa"/>
            <w:tcBorders/>
            <w:shd w:fill="FFFFFF" w:val="clear"/>
            <w:vAlign w:val="center"/>
          </w:tcPr>
          <w:p>
            <w:pPr>
              <w:pStyle w:val="TableContents"/>
              <w:bidi w:val="0"/>
              <w:spacing w:before="0" w:after="283"/>
              <w:jc w:val="right"/>
              <w:rPr/>
            </w:pPr>
            <w:r>
              <w:rPr/>
              <w:t>35,818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Derivative assets, noncurrent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28,918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3" w:type="dxa"/>
            <w:tcBorders>
              <w:bottom w:val="single" w:sz="12" w:space="0" w:color="000000"/>
            </w:tcBorders>
            <w:shd w:fill="FFFFFF" w:val="clear"/>
            <w:tcMar>
              <w:bottom w:w="28" w:type="dxa"/>
            </w:tcMar>
            <w:vAlign w:val="center"/>
          </w:tcPr>
          <w:p>
            <w:pPr>
              <w:pStyle w:val="TableContents"/>
              <w:bidi w:val="0"/>
              <w:spacing w:before="0" w:after="283"/>
              <w:jc w:val="right"/>
              <w:rPr/>
            </w:pPr>
            <w:r>
              <w:rPr/>
              <w:t>8,682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2,599,969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1,398,853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3,446,433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2,787,911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BITDEER TECHNOLOGIES GROUP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BALANCE SHEETS (UNAUDITED)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94"/>
        <w:gridCol w:w="60"/>
        <w:gridCol w:w="500"/>
        <w:gridCol w:w="60"/>
        <w:gridCol w:w="60"/>
        <w:gridCol w:w="980"/>
        <w:gridCol w:w="140"/>
        <w:gridCol w:w="60"/>
        <w:gridCol w:w="66"/>
        <w:gridCol w:w="1099"/>
        <w:gridCol w:w="86"/>
      </w:tblGrid>
      <w:tr>
        <w:trPr/>
        <w:tc>
          <w:tcPr>
            <w:tcW w:w="709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86" w:type="dxa"/>
            <w:tcBorders/>
            <w:vAlign w:val="center"/>
          </w:tcPr>
          <w:p>
            <w:pPr>
              <w:pStyle w:val="TableContents"/>
              <w:bidi w:val="0"/>
              <w:spacing w:before="0" w:after="283"/>
              <w:ind w:left="0" w:right="0" w:hanging="180"/>
              <w:jc w:val="left"/>
              <w:rPr/>
            </w:pPr>
            <w:r>
              <w:rPr/>
              <w:t> </w:t>
            </w:r>
          </w:p>
        </w:tc>
      </w:tr>
      <w:tr>
        <w:trPr/>
        <w:tc>
          <w:tcPr>
            <w:tcW w:w="7094" w:type="dxa"/>
            <w:tcBorders/>
            <w:vAlign w:val="center"/>
          </w:tcPr>
          <w:p>
            <w:pPr>
              <w:pStyle w:val="TableContents"/>
              <w:bidi w:val="0"/>
              <w:spacing w:before="0" w:after="283"/>
              <w:jc w:val="left"/>
              <w:rPr>
                <w:b/>
              </w:rPr>
            </w:pPr>
            <w:r>
              <w:rPr>
                <w:b/>
              </w:rPr>
              <w:t>LIABILITIES AND SHAREHOLDERS’ EQUITY</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094"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094"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Accounts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177,263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119,818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54,181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54,964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Amounts due to a related party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5,225</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4,340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Income tax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11,926</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13,355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6,529</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Deferred revenues, current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55,682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64,391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Short-term borrowings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26,000</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26,000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Current portion of long-term borrowings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13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Short-term borrowings from a related party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117,548</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Current portion of long-term borrowings from a related party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373,500</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275,000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13,065</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11,888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841,018</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569,769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3,799</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2,413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Deferred revenues, noncurrent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59,565</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63,255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Long-term borrowings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1,182,454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947,183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Long-term borrowings from a related party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142,083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246,831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97,531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98,468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17,172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FFFFFF" w:val="clear"/>
            <w:tcMar>
              <w:bottom w:w="28" w:type="dxa"/>
            </w:tcMar>
            <w:vAlign w:val="center"/>
          </w:tcPr>
          <w:p>
            <w:pPr>
              <w:pStyle w:val="TableContents"/>
              <w:bidi w:val="0"/>
              <w:spacing w:before="0" w:after="283"/>
              <w:jc w:val="right"/>
              <w:rPr/>
            </w:pPr>
            <w:r>
              <w:rPr/>
              <w:t>11,973</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1,502,604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1,370,123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2,343,622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1,939,892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pPr>
            <w:r>
              <w:rPr/>
              <w:t>Ordinary shares (US$0.0000001 par value; 499,600,000,000 Class A ordinary shares and 200,000,000 Class V ordinary shares authorized; 227,382,323 Class A ordinary shares issued and outstanding and 44,399,922 Class V ordinary shares issued and outstanding as of June 30, 2026, 194,516,873 Class A ordinary shares issued and 191,152,162 outstanding, 44,399,922 Class V ordinary shares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094" w:type="dxa"/>
            <w:tcBorders/>
            <w:shd w:fill="FFFFFF" w:val="clear"/>
            <w:vAlign w:val="center"/>
          </w:tcPr>
          <w:p>
            <w:pPr>
              <w:pStyle w:val="TableContents"/>
              <w:bidi w:val="0"/>
              <w:spacing w:before="0" w:after="283"/>
              <w:jc w:val="left"/>
              <w:rPr/>
            </w:pPr>
            <w:r>
              <w:rPr/>
              <w:t>Treasury shares (nil as of June 30, 2026 and 3,364,711 Class A ordinary shares as of December 31, 2025)</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(35,990</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7094"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1,888,766</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99" w:type="dxa"/>
            <w:tcBorders/>
            <w:shd w:fill="CCEEFF" w:val="clear"/>
            <w:vAlign w:val="center"/>
          </w:tcPr>
          <w:p>
            <w:pPr>
              <w:pStyle w:val="TableContents"/>
              <w:bidi w:val="0"/>
              <w:spacing w:before="0" w:after="283"/>
              <w:jc w:val="right"/>
              <w:rPr/>
            </w:pPr>
            <w:r>
              <w:rPr/>
              <w:t>1,418,111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(785,961</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pPr>
            <w:r>
              <w:rPr/>
              <w:t>(534,156</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7094"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094"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1,102,811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848,019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094"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3,446,433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2,787,911</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2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less than US$1,000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 w:name="a_002"/>
      <w:bookmarkEnd w:id="5"/>
      <w:r>
        <w:rPr>
          <w:rFonts w:ascii="Times New Roman;Times;Serif" w:hAnsi="Times New Roman;Times;Serif"/>
          <w:b/>
          <w:i w:val="false"/>
          <w:caps w:val="false"/>
          <w:smallCaps w:val="false"/>
          <w:sz w:val="20"/>
        </w:rPr>
        <w:t>BITDEER TECHNOLOGIES GROUP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OPERATIONS AND COMPREHENSIVE INCOME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tables are stated in thousands of U.S. Dollar,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47"/>
        <w:gridCol w:w="60"/>
        <w:gridCol w:w="624"/>
        <w:gridCol w:w="60"/>
        <w:gridCol w:w="60"/>
        <w:gridCol w:w="875"/>
        <w:gridCol w:w="95"/>
        <w:gridCol w:w="60"/>
        <w:gridCol w:w="60"/>
        <w:gridCol w:w="875"/>
        <w:gridCol w:w="89"/>
      </w:tblGrid>
      <w:tr>
        <w:trPr/>
        <w:tc>
          <w:tcPr>
            <w:tcW w:w="734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89" w:type="dxa"/>
            <w:tcBorders/>
            <w:vAlign w:val="center"/>
          </w:tcPr>
          <w:p>
            <w:pPr>
              <w:pStyle w:val="TableContents"/>
              <w:bidi w:val="0"/>
              <w:spacing w:before="0" w:after="283"/>
              <w:ind w:left="0" w:right="0" w:hanging="180"/>
              <w:jc w:val="left"/>
              <w:rPr/>
            </w:pPr>
            <w:r>
              <w:rPr/>
              <w:t> </w:t>
            </w:r>
          </w:p>
        </w:tc>
      </w:tr>
      <w:tr>
        <w:trPr/>
        <w:tc>
          <w:tcPr>
            <w:tcW w:w="73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4"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ind w:left="0" w:right="0" w:hanging="180"/>
              <w:jc w:val="left"/>
              <w:rPr/>
            </w:pPr>
            <w:r>
              <w:rPr/>
              <w:t> </w:t>
            </w:r>
          </w:p>
        </w:tc>
      </w:tr>
      <w:tr>
        <w:trPr/>
        <w:tc>
          <w:tcPr>
            <w:tcW w:w="7347" w:type="dxa"/>
            <w:tcBorders/>
            <w:vAlign w:val="center"/>
          </w:tcPr>
          <w:p>
            <w:pPr>
              <w:pStyle w:val="TableContents"/>
              <w:bidi w:val="0"/>
              <w:spacing w:before="0" w:after="283"/>
              <w:jc w:val="left"/>
              <w:rPr>
                <w:b/>
              </w:rPr>
            </w:pPr>
            <w:r>
              <w:rPr>
                <w:b/>
              </w:rPr>
              <w:t>Net revenues</w:t>
            </w:r>
          </w:p>
        </w:tc>
        <w:tc>
          <w:tcPr>
            <w:tcW w:w="60"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Net service revenues (including revenues from a related party of approximately US$0.7 million and US$0.6 million for the six months ended June 30, 2026 and 2025, respectively)</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xml:space="preserve">2(p), 20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412,040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152,013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Net product revenues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2(p)</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73,697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Total net revenues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2(p)</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417,714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225,710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Cost of service revenues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(460,164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(153,664</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Cost of product revenues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(64,035</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(465,281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(217,699</w:t>
            </w:r>
          </w:p>
        </w:tc>
        <w:tc>
          <w:tcPr>
            <w:tcW w:w="89" w:type="dxa"/>
            <w:tcBorders/>
            <w:shd w:fill="CCEEFF" w:val="clear"/>
            <w:vAlign w:val="center"/>
          </w:tcPr>
          <w:p>
            <w:pPr>
              <w:pStyle w:val="TableContents"/>
              <w:bidi w:val="0"/>
              <w:spacing w:before="0" w:after="283"/>
              <w:ind w:left="0" w:right="0" w:hanging="180"/>
              <w:jc w:val="left"/>
              <w:rPr>
                <w:b/>
              </w:rPr>
            </w:pPr>
            <w:r>
              <w:rPr>
                <w:b/>
              </w:rPr>
              <w:t>)</w:t>
            </w:r>
          </w:p>
        </w:tc>
      </w:tr>
      <w:tr>
        <w:trPr/>
        <w:tc>
          <w:tcPr>
            <w:tcW w:w="7347" w:type="dxa"/>
            <w:tcBorders/>
            <w:shd w:fill="FFFFFF" w:val="clear"/>
            <w:vAlign w:val="center"/>
          </w:tcPr>
          <w:p>
            <w:pPr>
              <w:pStyle w:val="TableContents"/>
              <w:bidi w:val="0"/>
              <w:spacing w:before="0" w:after="283"/>
              <w:jc w:val="left"/>
              <w:rPr>
                <w:b/>
              </w:rPr>
            </w:pPr>
            <w:r>
              <w:rPr>
                <w:b/>
              </w:rPr>
              <w:t>Gross (loss) profit</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(47,567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8,011</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(3,015</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(58,906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(35,240</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(79,572</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pPr>
            <w:r>
              <w:rPr/>
              <w:t>Change in fair value of digital assets held for operations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19,398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Other operating expenses, net</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(3,409</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(160,726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(101,838</w:t>
            </w:r>
          </w:p>
        </w:tc>
        <w:tc>
          <w:tcPr>
            <w:tcW w:w="89" w:type="dxa"/>
            <w:tcBorders/>
            <w:shd w:fill="CCEEFF" w:val="clear"/>
            <w:vAlign w:val="center"/>
          </w:tcPr>
          <w:p>
            <w:pPr>
              <w:pStyle w:val="TableContents"/>
              <w:bidi w:val="0"/>
              <w:spacing w:before="0" w:after="283"/>
              <w:ind w:left="0" w:right="0" w:hanging="180"/>
              <w:jc w:val="left"/>
              <w:rPr>
                <w:b/>
              </w:rPr>
            </w:pPr>
            <w:r>
              <w:rPr>
                <w:b/>
              </w:rPr>
              <w:t>)</w:t>
            </w:r>
          </w:p>
        </w:tc>
      </w:tr>
      <w:tr>
        <w:trPr/>
        <w:tc>
          <w:tcPr>
            <w:tcW w:w="7347"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(208,293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(93,827</w:t>
            </w:r>
          </w:p>
        </w:tc>
        <w:tc>
          <w:tcPr>
            <w:tcW w:w="89" w:type="dxa"/>
            <w:tcBorders/>
            <w:shd w:fill="FFFFFF" w:val="clear"/>
            <w:vAlign w:val="center"/>
          </w:tcPr>
          <w:p>
            <w:pPr>
              <w:pStyle w:val="TableContents"/>
              <w:bidi w:val="0"/>
              <w:spacing w:before="0" w:after="283"/>
              <w:ind w:left="0" w:right="0" w:hanging="180"/>
              <w:jc w:val="left"/>
              <w:rPr>
                <w:b/>
              </w:rPr>
            </w:pPr>
            <w:r>
              <w:rPr>
                <w:b/>
              </w:rPr>
              <w:t>)</w:t>
            </w:r>
          </w:p>
        </w:tc>
      </w:tr>
      <w:tr>
        <w:trPr/>
        <w:tc>
          <w:tcPr>
            <w:tcW w:w="7347"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4,187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(62,810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(19,063</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pPr>
            <w:r>
              <w:rPr/>
              <w:t>Change in fair value of digital assets receivables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Change in fair value of digital assets loan</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Change in fair value of derivative instruments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165,352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Foreign exchange (losses) gains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3,449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Other losses, net</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(18,776</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b/>
              </w:rPr>
            </w:pPr>
            <w:r>
              <w:rPr>
                <w:b/>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(263,409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41,322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Income tax benefits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3,523</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(2,467</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347"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(251,805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42,378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Net (loss) income per share (in US$)</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0.22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(0.57</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347" w:type="dxa"/>
            <w:tcBorders/>
            <w:shd w:fill="FFFFFF" w:val="clear"/>
            <w:vAlign w:val="center"/>
          </w:tcPr>
          <w:p>
            <w:pPr>
              <w:pStyle w:val="TableContents"/>
              <w:bidi w:val="0"/>
              <w:spacing w:before="0" w:after="283"/>
              <w:jc w:val="left"/>
              <w:rPr>
                <w:b/>
              </w:rPr>
            </w:pPr>
            <w:r>
              <w:rPr>
                <w:b/>
              </w:rPr>
              <w:t>Weighted average number of shares outstanding (thousand shares)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239,886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192,095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239,886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204,683</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pPr>
            <w:r>
              <w:rPr/>
              <w:t>Other comprehensive (loss) income for the period</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pPr>
            <w:r>
              <w:rPr/>
              <w:t>-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347" w:type="dxa"/>
            <w:tcBorders/>
            <w:shd w:fill="CCEEFF" w:val="clear"/>
            <w:vAlign w:val="center"/>
          </w:tcPr>
          <w:p>
            <w:pPr>
              <w:pStyle w:val="TableContents"/>
              <w:bidi w:val="0"/>
              <w:spacing w:before="0" w:after="283"/>
              <w:jc w:val="left"/>
              <w:rPr>
                <w:b/>
              </w:rPr>
            </w:pPr>
            <w:r>
              <w:rPr>
                <w:b/>
              </w:rPr>
              <w:t>Other comprehensive (loss) income for the period, net of tax</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347" w:type="dxa"/>
            <w:tcBorders/>
            <w:shd w:fill="FFFFFF" w:val="clear"/>
            <w:vAlign w:val="center"/>
          </w:tcPr>
          <w:p>
            <w:pPr>
              <w:pStyle w:val="TableContents"/>
              <w:bidi w:val="0"/>
              <w:spacing w:before="0" w:after="283"/>
              <w:jc w:val="left"/>
              <w:rPr>
                <w:b/>
              </w:rPr>
            </w:pPr>
            <w:r>
              <w:rPr>
                <w:b/>
              </w:rPr>
              <w:t>Total comprehensive (loss) income for the period</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(251,853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42,527</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 w:name="a_003"/>
      <w:bookmarkEnd w:id="6"/>
      <w:r>
        <w:rPr>
          <w:rFonts w:ascii="Times New Roman;Times;Serif" w:hAnsi="Times New Roman;Times;Serif"/>
          <w:b/>
          <w:i w:val="false"/>
          <w:caps w:val="false"/>
          <w:smallCaps w:val="false"/>
          <w:sz w:val="20"/>
        </w:rPr>
        <w:t>BITDEER TECHNOLOGIES GROUP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CHANGES IN SHAREHOLDERS’ EQUITY (UNAUDITED)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(Amounts in tables are stated in thousands of U.S. Dollar, except per share data)</w:t>
      </w:r>
    </w:p>
    <w:p>
      <w:pPr>
        <w:pStyle w:val="TextBody"/>
        <w:bidi w:val="0"/>
        <w:spacing w:before="0" w:after="0"/>
        <w:ind w:left="0" w:right="0" w:hanging="0"/>
        <w:jc w:val="center"/>
        <w:rPr>
          <w:caps w:val="false"/>
          <w:smallCaps w:val="false"/>
        </w:rPr>
      </w:pPr>
      <w:r>
        <w:rPr>
          <w:caps w:val="false"/>
          <w:smallCaps w:val="false"/>
        </w:rPr>
        <w:t> </w:t>
      </w:r>
    </w:p>
    <w:tbl>
      <w:tblPr>
        <w:tblW w:w="11790" w:type="dxa"/>
        <w:jc w:val="left"/>
        <w:tblInd w:w="0" w:type="dxa"/>
        <w:tblLayout w:type="fixed"/>
        <w:tblCellMar>
          <w:top w:w="0" w:type="dxa"/>
          <w:left w:w="0" w:type="dxa"/>
          <w:bottom w:w="0" w:type="dxa"/>
          <w:right w:w="0" w:type="dxa"/>
        </w:tblCellMar>
      </w:tblPr>
      <w:tblGrid>
        <w:gridCol w:w="1100"/>
        <w:gridCol w:w="60"/>
        <w:gridCol w:w="425"/>
        <w:gridCol w:w="60"/>
        <w:gridCol w:w="60"/>
        <w:gridCol w:w="60"/>
        <w:gridCol w:w="920"/>
        <w:gridCol w:w="80"/>
        <w:gridCol w:w="60"/>
        <w:gridCol w:w="234"/>
        <w:gridCol w:w="431"/>
        <w:gridCol w:w="60"/>
        <w:gridCol w:w="60"/>
        <w:gridCol w:w="60"/>
        <w:gridCol w:w="830"/>
        <w:gridCol w:w="60"/>
        <w:gridCol w:w="60"/>
        <w:gridCol w:w="234"/>
        <w:gridCol w:w="431"/>
        <w:gridCol w:w="60"/>
        <w:gridCol w:w="60"/>
        <w:gridCol w:w="60"/>
        <w:gridCol w:w="800"/>
        <w:gridCol w:w="80"/>
        <w:gridCol w:w="60"/>
        <w:gridCol w:w="62"/>
        <w:gridCol w:w="603"/>
        <w:gridCol w:w="80"/>
        <w:gridCol w:w="60"/>
        <w:gridCol w:w="63"/>
        <w:gridCol w:w="782"/>
        <w:gridCol w:w="80"/>
        <w:gridCol w:w="60"/>
        <w:gridCol w:w="86"/>
        <w:gridCol w:w="954"/>
        <w:gridCol w:w="80"/>
        <w:gridCol w:w="60"/>
        <w:gridCol w:w="217"/>
        <w:gridCol w:w="943"/>
        <w:gridCol w:w="80"/>
        <w:gridCol w:w="60"/>
        <w:gridCol w:w="78"/>
        <w:gridCol w:w="962"/>
        <w:gridCol w:w="75"/>
      </w:tblGrid>
      <w:tr>
        <w:trPr/>
        <w:tc>
          <w:tcPr>
            <w:tcW w:w="11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Ordinary shares</w:t>
            </w:r>
          </w:p>
        </w:tc>
        <w:tc>
          <w:tcPr>
            <w:tcW w:w="1785" w:type="dxa"/>
            <w:gridSpan w:val="8"/>
            <w:tcBorders/>
            <w:vAlign w:val="center"/>
          </w:tcPr>
          <w:p>
            <w:pPr>
              <w:pStyle w:val="TableContents"/>
              <w:bidi w:val="0"/>
              <w:spacing w:before="0" w:after="283"/>
              <w:jc w:val="center"/>
              <w:rPr/>
            </w:pPr>
            <w:r>
              <w:rPr/>
              <w:t> </w:t>
            </w:r>
          </w:p>
        </w:tc>
        <w:tc>
          <w:tcPr>
            <w:tcW w:w="985" w:type="dxa"/>
            <w:gridSpan w:val="4"/>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Class A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Class V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Treasury </w:t>
              <w:b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br/>
              <w:t>other</w:t>
              <w:br/>
              <w:t>comprehensive</w:t>
              <w:b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Total</w:t>
              <w:br/>
              <w:t>Shareholders’</w:t>
            </w:r>
          </w:p>
        </w:tc>
        <w:tc>
          <w:tcPr>
            <w:tcW w:w="75" w:type="dxa"/>
            <w:tcBorders/>
            <w:vAlign w:val="center"/>
          </w:tcPr>
          <w:p>
            <w:pPr>
              <w:pStyle w:val="TableContents"/>
              <w:bidi w:val="0"/>
              <w:spacing w:before="0" w:after="283"/>
              <w:ind w:left="0" w:right="0" w:hanging="180"/>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Note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capital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Deficit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Equity</w:t>
            </w:r>
          </w:p>
        </w:tc>
        <w:tc>
          <w:tcPr>
            <w:tcW w:w="75" w:type="dxa"/>
            <w:tcBorders/>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Balance as of January 1, 2026</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194,516,873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44,399,922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(3,364,711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(35,990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1,418,111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(534,156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848,019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(251,805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(251,805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Other comprehensive loss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ordinary shares for exercise of share-based awards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616,071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Repurchase of ordinary shares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(317,501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(3,975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(3,975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Cancellation of Class A ordinary shares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(3,682,212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3,682,212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shares, net of transaction costs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30,428,561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484,501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484,501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shares in connection with settlement of convertible notes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5,503,030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43,804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Purchase of capped call option in connection with convertible senior notes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(33,713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(33,713</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Balance as of June 30, 2026</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227,382,323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44,399,922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1,888,766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(785,961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1,102,811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BITDEER TECHNOLOGIES GROUP AND ITS SUBSIDIARIES</w:t>
      </w:r>
      <w:r>
        <w:rPr/>
        <w:br/>
      </w:r>
      <w:r>
        <w:rPr>
          <w:b/>
        </w:rPr>
        <w:t>CONSOLIDATED STATEMENTS OF CHANGES IN SHAREHOLDERS’ EQUITY (UNAUDITED)</w:t>
      </w:r>
      <w:r>
        <w:rPr/>
        <w:br/>
      </w:r>
      <w:r>
        <w:rPr>
          <w:b/>
        </w:rPr>
        <w:t>(Amounts in tables are stated in thousands of U.S. Dollar, except per share data)</w:t>
      </w:r>
    </w:p>
    <w:p>
      <w:pPr>
        <w:pStyle w:val="TextBody"/>
        <w:bidi w:val="0"/>
        <w:spacing w:before="0" w:after="283"/>
        <w:jc w:val="left"/>
        <w:rPr/>
      </w:pPr>
      <w:r>
        <w:rPr/>
        <w:t> </w:t>
      </w:r>
    </w:p>
    <w:tbl>
      <w:tblPr>
        <w:tblW w:w="11790" w:type="dxa"/>
        <w:jc w:val="left"/>
        <w:tblInd w:w="0" w:type="dxa"/>
        <w:tblLayout w:type="fixed"/>
        <w:tblCellMar>
          <w:top w:w="0" w:type="dxa"/>
          <w:left w:w="0" w:type="dxa"/>
          <w:bottom w:w="0" w:type="dxa"/>
          <w:right w:w="0" w:type="dxa"/>
        </w:tblCellMar>
      </w:tblPr>
      <w:tblGrid>
        <w:gridCol w:w="1100"/>
        <w:gridCol w:w="60"/>
        <w:gridCol w:w="425"/>
        <w:gridCol w:w="60"/>
        <w:gridCol w:w="60"/>
        <w:gridCol w:w="60"/>
        <w:gridCol w:w="920"/>
        <w:gridCol w:w="80"/>
        <w:gridCol w:w="60"/>
        <w:gridCol w:w="199"/>
        <w:gridCol w:w="466"/>
        <w:gridCol w:w="60"/>
        <w:gridCol w:w="60"/>
        <w:gridCol w:w="60"/>
        <w:gridCol w:w="830"/>
        <w:gridCol w:w="80"/>
        <w:gridCol w:w="60"/>
        <w:gridCol w:w="234"/>
        <w:gridCol w:w="431"/>
        <w:gridCol w:w="60"/>
        <w:gridCol w:w="60"/>
        <w:gridCol w:w="60"/>
        <w:gridCol w:w="800"/>
        <w:gridCol w:w="80"/>
        <w:gridCol w:w="60"/>
        <w:gridCol w:w="62"/>
        <w:gridCol w:w="603"/>
        <w:gridCol w:w="80"/>
        <w:gridCol w:w="60"/>
        <w:gridCol w:w="63"/>
        <w:gridCol w:w="782"/>
        <w:gridCol w:w="80"/>
        <w:gridCol w:w="60"/>
        <w:gridCol w:w="86"/>
        <w:gridCol w:w="954"/>
        <w:gridCol w:w="80"/>
        <w:gridCol w:w="60"/>
        <w:gridCol w:w="198"/>
        <w:gridCol w:w="962"/>
        <w:gridCol w:w="60"/>
        <w:gridCol w:w="60"/>
        <w:gridCol w:w="86"/>
        <w:gridCol w:w="954"/>
        <w:gridCol w:w="75"/>
      </w:tblGrid>
      <w:tr>
        <w:trPr/>
        <w:tc>
          <w:tcPr>
            <w:tcW w:w="11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Ordinary shares</w:t>
            </w:r>
          </w:p>
        </w:tc>
        <w:tc>
          <w:tcPr>
            <w:tcW w:w="1785" w:type="dxa"/>
            <w:gridSpan w:val="8"/>
            <w:tcBorders/>
            <w:vAlign w:val="center"/>
          </w:tcPr>
          <w:p>
            <w:pPr>
              <w:pStyle w:val="TableContents"/>
              <w:bidi w:val="0"/>
              <w:spacing w:before="0" w:after="283"/>
              <w:jc w:val="center"/>
              <w:rPr/>
            </w:pPr>
            <w:r>
              <w:rPr/>
              <w:t> </w:t>
            </w:r>
          </w:p>
        </w:tc>
        <w:tc>
          <w:tcPr>
            <w:tcW w:w="985" w:type="dxa"/>
            <w:gridSpan w:val="4"/>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Class A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Class V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xml:space="preserve">Treasury </w:t>
              <w:b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br/>
              <w:t>other</w:t>
              <w:br/>
              <w:t>comprehensive</w:t>
              <w:b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Total</w:t>
              <w:br/>
              <w:t>Shareholders’</w:t>
            </w:r>
          </w:p>
        </w:tc>
        <w:tc>
          <w:tcPr>
            <w:tcW w:w="75" w:type="dxa"/>
            <w:tcBorders/>
            <w:vAlign w:val="center"/>
          </w:tcPr>
          <w:p>
            <w:pPr>
              <w:pStyle w:val="TableContents"/>
              <w:bidi w:val="0"/>
              <w:spacing w:before="0" w:after="283"/>
              <w:ind w:left="0" w:right="0" w:hanging="180"/>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Note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capital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Deficit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Equity</w:t>
            </w:r>
          </w:p>
        </w:tc>
        <w:tc>
          <w:tcPr>
            <w:tcW w:w="75" w:type="dxa"/>
            <w:tcBorders/>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Balance as of January 1, 2025</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144,063,496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48,399,922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(145,762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(926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893,225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(354,973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537,489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Net income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42,378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Other comprehensive income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20,574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20,574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ordinary shares for exercise of share-based awards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535,865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1,665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Repurchase of ordinary shares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(2,462,200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(30,041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(30,041</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Cancellation of Class A ordinary shares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(2,535,762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2,535,762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29,967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(29,967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shares, net of transaction costs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6,076,388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118,540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118,540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shares for exercise of warrant</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5,186,627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74,182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74,182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Issuance of shares in connection with settlement of convertible notes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10,062,187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112,951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Purchase of zero-strike call option in connection with issuance of convertible senior notes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(129,607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(129,607</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8"/>
              </w:rPr>
            </w:pPr>
            <w:r>
              <w:rPr>
                <w:rFonts w:ascii="Times New Roman;Times;Serif" w:hAnsi="Times New Roman;Times;Serif"/>
                <w:sz w:val="18"/>
              </w:rPr>
              <w:t>)</w:t>
            </w:r>
          </w:p>
        </w:tc>
      </w:tr>
      <w:tr>
        <w:trPr/>
        <w:tc>
          <w:tcPr>
            <w:tcW w:w="110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Conversion of Class V to Class A ordinary shares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0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Balance as of June 30, 2025</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167,388,801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44,399,922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(72,200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(1,000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1,061,563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(312,595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8"/>
              </w:rPr>
            </w:pPr>
            <w:r>
              <w:rPr>
                <w:rFonts w:ascii="Times New Roman;Times;Serif" w:hAnsi="Times New Roman;Times;Serif"/>
                <w:b/>
                <w:sz w:val="18"/>
              </w:rPr>
              <w:t>748,280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2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less than US$1,000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a_004"/>
      <w:bookmarkEnd w:id="7"/>
      <w:r>
        <w:rPr>
          <w:rFonts w:ascii="Times New Roman;Times;Serif" w:hAnsi="Times New Roman;Times;Serif"/>
          <w:b/>
          <w:i w:val="false"/>
          <w:caps w:val="false"/>
          <w:smallCaps w:val="false"/>
          <w:sz w:val="20"/>
        </w:rPr>
        <w:t>BITDEER TECHNOLOGIES GROUP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CASH FLOWS (UNAUDITED)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160"/>
        <w:gridCol w:w="60"/>
        <w:gridCol w:w="60"/>
        <w:gridCol w:w="875"/>
        <w:gridCol w:w="95"/>
        <w:gridCol w:w="60"/>
        <w:gridCol w:w="60"/>
        <w:gridCol w:w="875"/>
        <w:gridCol w:w="110"/>
      </w:tblGrid>
      <w:tr>
        <w:trPr/>
        <w:tc>
          <w:tcPr>
            <w:tcW w:w="71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ind w:left="0" w:right="0" w:hanging="180"/>
              <w:jc w:val="left"/>
              <w:rPr/>
            </w:pPr>
            <w:r>
              <w:rPr/>
              <w:t> </w:t>
            </w:r>
          </w:p>
        </w:tc>
      </w:tr>
      <w:tr>
        <w:trPr/>
        <w:tc>
          <w:tcPr>
            <w:tcW w:w="7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716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(251,805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42,378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Adjustments to reconcile net income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Revenues recognized on acceptance of digital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(354,246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(200,639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5,835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202,596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44,952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20,574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Amortization of debt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3,617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Losses on disposal of property, plant and equipment and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Change in fair value of derivative instruments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(165,352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pPr>
            <w:r>
              <w:rPr/>
              <w:t>Change in fair value of digital asset receivables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Change in fair value of digital assets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Change in fair value of digital asset-settled receivables and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3,190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Impairment charges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Foreign exchange losses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(3,449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Loss on extinguishment of convertible senior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16,194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(4,939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Unrealized loss (gain) on digital assets held for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(19,211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pPr>
            <w:r>
              <w:rPr/>
              <w:t>Realized loss (gain) on disposal of digital assets held for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Share of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2,467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Prepayments and other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371,794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(101,354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(290,683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Accounts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30,791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shd w:fill="FFFFFF" w:val="clear"/>
            <w:vAlign w:val="center"/>
          </w:tcPr>
          <w:p>
            <w:pPr>
              <w:pStyle w:val="TableContents"/>
              <w:bidi w:val="0"/>
              <w:spacing w:before="0" w:after="283"/>
              <w:jc w:val="left"/>
              <w:rPr/>
            </w:pPr>
            <w:r>
              <w:rPr/>
              <w:t>Amounts due to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1,117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6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(5,070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16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(3,553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6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(505,417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(622,025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BITDEER TECHNOLOGIES GROUP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CASH FLOWS (UNAUDITED)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3"/>
        <w:gridCol w:w="60"/>
        <w:gridCol w:w="60"/>
        <w:gridCol w:w="875"/>
        <w:gridCol w:w="95"/>
        <w:gridCol w:w="60"/>
        <w:gridCol w:w="60"/>
        <w:gridCol w:w="875"/>
        <w:gridCol w:w="107"/>
      </w:tblGrid>
      <w:tr>
        <w:trPr/>
        <w:tc>
          <w:tcPr>
            <w:tcW w:w="801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07" w:type="dxa"/>
            <w:tcBorders/>
            <w:vAlign w:val="center"/>
          </w:tcPr>
          <w:p>
            <w:pPr>
              <w:pStyle w:val="TableContents"/>
              <w:bidi w:val="0"/>
              <w:spacing w:before="0" w:after="283"/>
              <w:ind w:left="0" w:right="0" w:hanging="180"/>
              <w:jc w:val="left"/>
              <w:rPr/>
            </w:pPr>
            <w:r>
              <w:rPr/>
              <w:t> </w:t>
            </w:r>
          </w:p>
        </w:tc>
      </w:tr>
      <w:tr>
        <w:trPr/>
        <w:tc>
          <w:tcPr>
            <w:tcW w:w="8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ind w:left="0" w:right="0" w:hanging="180"/>
              <w:jc w:val="left"/>
              <w:rPr/>
            </w:pPr>
            <w:r>
              <w:rPr/>
              <w:t> </w:t>
            </w:r>
          </w:p>
        </w:tc>
      </w:tr>
      <w:tr>
        <w:trPr/>
        <w:tc>
          <w:tcPr>
            <w:tcW w:w="8013" w:type="dxa"/>
            <w:tcBorders/>
            <w:vAlign w:val="center"/>
          </w:tcPr>
          <w:p>
            <w:pPr>
              <w:pStyle w:val="TableContents"/>
              <w:bidi w:val="0"/>
              <w:spacing w:before="0" w:after="283"/>
              <w:jc w:val="left"/>
              <w:rPr>
                <w:b/>
              </w:rPr>
            </w:pPr>
            <w:r>
              <w:rPr>
                <w:b/>
              </w:rPr>
              <w:t>Cash flows from investing activities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pPr>
            <w:r>
              <w:rPr/>
              <w:t>Purchase of property, plant and equipment and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(359,740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(157,205</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pPr>
            <w:r>
              <w:rPr/>
              <w:t>Purchase of 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(1,000</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8013" w:type="dxa"/>
            <w:tcBorders/>
            <w:shd w:fill="CCEEFF" w:val="clear"/>
            <w:vAlign w:val="center"/>
          </w:tcPr>
          <w:p>
            <w:pPr>
              <w:pStyle w:val="TableContents"/>
              <w:bidi w:val="0"/>
              <w:spacing w:before="0" w:after="283"/>
              <w:jc w:val="left"/>
              <w:rPr/>
            </w:pPr>
            <w:r>
              <w:rPr/>
              <w:t>Purchase of 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(332</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pPr>
            <w:r>
              <w:rPr/>
              <w:t>Proceeds from disposal of short-term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pPr>
            <w:r>
              <w:rPr/>
              <w:t>Proceeds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8013" w:type="dxa"/>
            <w:tcBorders/>
            <w:shd w:fill="FFFFFF" w:val="clear"/>
            <w:vAlign w:val="center"/>
          </w:tcPr>
          <w:p>
            <w:pPr>
              <w:pStyle w:val="TableContents"/>
              <w:bidi w:val="0"/>
              <w:spacing w:before="0" w:after="283"/>
              <w:jc w:val="left"/>
              <w:rPr/>
            </w:pPr>
            <w:r>
              <w:rPr/>
              <w:t>Purchase of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(18,159</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8013" w:type="dxa"/>
            <w:tcBorders/>
            <w:shd w:fill="CCEEFF" w:val="clear"/>
            <w:vAlign w:val="center"/>
          </w:tcPr>
          <w:p>
            <w:pPr>
              <w:pStyle w:val="TableContents"/>
              <w:bidi w:val="0"/>
              <w:spacing w:before="0" w:after="283"/>
              <w:jc w:val="left"/>
              <w:rPr/>
            </w:pPr>
            <w:r>
              <w:rPr/>
              <w:t>Proceeds from disposal of digital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112,351</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8013" w:type="dxa"/>
            <w:tcBorders/>
            <w:shd w:fill="FFFFFF" w:val="clear"/>
            <w:vAlign w:val="center"/>
          </w:tcPr>
          <w:p>
            <w:pPr>
              <w:pStyle w:val="TableContents"/>
              <w:bidi w:val="0"/>
              <w:spacing w:before="0" w:after="283"/>
              <w:jc w:val="left"/>
              <w:rPr/>
            </w:pPr>
            <w:r>
              <w:rPr/>
              <w:t>Cash paid for the site and gas-fired power project in Alberta, Canada</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(21,881</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8013"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44,840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(86,226</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8013" w:type="dxa"/>
            <w:tcBorders/>
            <w:shd w:fill="FFFFFF" w:val="clear"/>
            <w:vAlign w:val="center"/>
          </w:tcPr>
          <w:p>
            <w:pPr>
              <w:pStyle w:val="TableContents"/>
              <w:bidi w:val="0"/>
              <w:spacing w:before="0" w:after="283"/>
              <w:jc w:val="left"/>
              <w:rPr/>
            </w:pPr>
            <w:r>
              <w:rPr/>
              <w:t>Proceeds from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17,472</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pPr>
            <w:r>
              <w:rPr/>
              <w:t>Repayment of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pPr>
            <w:r>
              <w:rPr/>
              <w:t>Borrowings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180,000</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pPr>
            <w:r>
              <w:rPr/>
              <w:t>Repayment of borrowings to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(7,083</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pPr>
            <w:r>
              <w:rPr/>
              <w:t>Proceeds from exercise of share-based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1,665</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pPr>
            <w:r>
              <w:rPr/>
              <w:t>Proceeds from issuance of shares for exercise of share warrant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50,000</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8013" w:type="dxa"/>
            <w:tcBorders/>
            <w:shd w:fill="FFFFFF" w:val="clear"/>
            <w:vAlign w:val="center"/>
          </w:tcPr>
          <w:p>
            <w:pPr>
              <w:pStyle w:val="TableContents"/>
              <w:bidi w:val="0"/>
              <w:spacing w:before="0" w:after="283"/>
              <w:jc w:val="left"/>
              <w:rPr/>
            </w:pPr>
            <w:r>
              <w:rPr/>
              <w:t>Proceeds from issuance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491,934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121,837</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pPr>
            <w:r>
              <w:rPr/>
              <w:t>Transaction costs for the 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(3,434</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pPr>
            <w:r>
              <w:rPr/>
              <w:t>Repurchase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(30,010</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8013" w:type="dxa"/>
            <w:tcBorders/>
            <w:shd w:fill="CCEEFF" w:val="clear"/>
            <w:vAlign w:val="center"/>
          </w:tcPr>
          <w:p>
            <w:pPr>
              <w:pStyle w:val="TableContents"/>
              <w:bidi w:val="0"/>
              <w:spacing w:before="0" w:after="283"/>
              <w:jc w:val="left"/>
              <w:rPr/>
            </w:pPr>
            <w:r>
              <w:rPr/>
              <w:t>Proceeds from convertible senior notes, net of transaction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363,192</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8013" w:type="dxa"/>
            <w:tcBorders/>
            <w:shd w:fill="FFFFFF" w:val="clear"/>
            <w:vAlign w:val="center"/>
          </w:tcPr>
          <w:p>
            <w:pPr>
              <w:pStyle w:val="TableContents"/>
              <w:bidi w:val="0"/>
              <w:spacing w:before="0" w:after="283"/>
              <w:jc w:val="left"/>
              <w:rPr/>
            </w:pPr>
            <w:r>
              <w:rPr/>
              <w:t>Repayments made in connection with the extinguishment of convertible senior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(93,046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(33,783</w:t>
            </w:r>
          </w:p>
        </w:tc>
        <w:tc>
          <w:tcPr>
            <w:tcW w:w="107" w:type="dxa"/>
            <w:tcBorders/>
            <w:shd w:fill="FFFFFF" w:val="clear"/>
            <w:vAlign w:val="center"/>
          </w:tcPr>
          <w:p>
            <w:pPr>
              <w:pStyle w:val="TableContents"/>
              <w:bidi w:val="0"/>
              <w:spacing w:before="0" w:after="283"/>
              <w:ind w:left="0" w:right="0" w:hanging="180"/>
              <w:jc w:val="left"/>
              <w:rPr/>
            </w:pPr>
            <w:r>
              <w:rPr/>
              <w:t>)</w:t>
            </w:r>
          </w:p>
        </w:tc>
      </w:tr>
      <w:tr>
        <w:trPr/>
        <w:tc>
          <w:tcPr>
            <w:tcW w:w="8013" w:type="dxa"/>
            <w:tcBorders/>
            <w:shd w:fill="CCEEFF" w:val="clear"/>
            <w:vAlign w:val="center"/>
          </w:tcPr>
          <w:p>
            <w:pPr>
              <w:pStyle w:val="TableContents"/>
              <w:bidi w:val="0"/>
              <w:spacing w:before="0" w:after="283"/>
              <w:jc w:val="left"/>
              <w:rPr/>
            </w:pPr>
            <w:r>
              <w:rPr/>
              <w:t>Purchase of capped call or zero-strike call option in connection with convertible senior notes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(33,713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(129,607</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781,454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530,245</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8013" w:type="dxa"/>
            <w:tcBorders/>
            <w:shd w:fill="FFFFFF" w:val="clear"/>
            <w:vAlign w:val="center"/>
          </w:tcPr>
          <w:p>
            <w:pPr>
              <w:pStyle w:val="TableContents"/>
              <w:bidi w:val="0"/>
              <w:spacing w:before="0" w:after="283"/>
              <w:jc w:val="left"/>
              <w:rPr/>
            </w:pPr>
            <w:r>
              <w:rPr/>
              <w:t>Effect of exchange rates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3,281</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b/>
              </w:rPr>
            </w:pPr>
            <w:r>
              <w:rPr>
                <w:b/>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318,411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(174,725</w:t>
            </w:r>
          </w:p>
        </w:tc>
        <w:tc>
          <w:tcPr>
            <w:tcW w:w="107" w:type="dxa"/>
            <w:tcBorders/>
            <w:shd w:fill="CCEEFF" w:val="clear"/>
            <w:vAlign w:val="center"/>
          </w:tcPr>
          <w:p>
            <w:pPr>
              <w:pStyle w:val="TableContents"/>
              <w:bidi w:val="0"/>
              <w:spacing w:before="0" w:after="283"/>
              <w:ind w:left="0" w:right="0" w:hanging="180"/>
              <w:jc w:val="left"/>
              <w:rPr/>
            </w:pPr>
            <w:r>
              <w:rPr/>
              <w:t>)</w:t>
            </w:r>
          </w:p>
        </w:tc>
      </w:tr>
      <w:tr>
        <w:trPr/>
        <w:tc>
          <w:tcPr>
            <w:tcW w:w="8013" w:type="dxa"/>
            <w:tcBorders/>
            <w:shd w:fill="FFFFFF" w:val="clear"/>
            <w:vAlign w:val="center"/>
          </w:tcPr>
          <w:p>
            <w:pPr>
              <w:pStyle w:val="TableContents"/>
              <w:bidi w:val="0"/>
              <w:spacing w:before="0" w:after="283"/>
              <w:jc w:val="left"/>
              <w:rPr/>
            </w:pPr>
            <w:r>
              <w:rPr/>
              <w:t>Cash, and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177,877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493,626</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8013" w:type="dxa"/>
            <w:tcBorders/>
            <w:shd w:fill="CCEEFF" w:val="clear"/>
            <w:vAlign w:val="center"/>
          </w:tcPr>
          <w:p>
            <w:pPr>
              <w:pStyle w:val="TableContents"/>
              <w:bidi w:val="0"/>
              <w:spacing w:before="0" w:after="283"/>
              <w:jc w:val="left"/>
              <w:rPr>
                <w:b/>
              </w:rPr>
            </w:pPr>
            <w:r>
              <w:rPr>
                <w:b/>
              </w:rPr>
              <w:t>Cash, and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496,288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318,901</w:t>
            </w:r>
          </w:p>
        </w:tc>
        <w:tc>
          <w:tcPr>
            <w:tcW w:w="10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BITDEER TECHNOLOGIES GROUP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CONSOLIDATED STATEMENTS OF CASH FLOWS (UNAUDITED)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(Amounts in tables are stated in thousands of U.S. Dollar)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4"/>
        <w:gridCol w:w="60"/>
        <w:gridCol w:w="60"/>
        <w:gridCol w:w="801"/>
        <w:gridCol w:w="95"/>
        <w:gridCol w:w="60"/>
        <w:gridCol w:w="60"/>
        <w:gridCol w:w="801"/>
        <w:gridCol w:w="104"/>
      </w:tblGrid>
      <w:tr>
        <w:trPr/>
        <w:tc>
          <w:tcPr>
            <w:tcW w:w="816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04" w:type="dxa"/>
            <w:tcBorders/>
            <w:vAlign w:val="center"/>
          </w:tcPr>
          <w:p>
            <w:pPr>
              <w:pStyle w:val="TableContents"/>
              <w:bidi w:val="0"/>
              <w:spacing w:before="0" w:after="283"/>
              <w:ind w:left="0" w:right="0" w:hanging="180"/>
              <w:jc w:val="left"/>
              <w:rPr/>
            </w:pPr>
            <w:r>
              <w:rPr/>
              <w:t> </w:t>
            </w:r>
          </w:p>
        </w:tc>
      </w:tr>
      <w:tr>
        <w:trPr/>
        <w:tc>
          <w:tcPr>
            <w:tcW w:w="8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ind w:left="0" w:right="0" w:hanging="180"/>
              <w:jc w:val="left"/>
              <w:rPr/>
            </w:pPr>
            <w:r>
              <w:rPr/>
              <w:t> </w:t>
            </w:r>
          </w:p>
        </w:tc>
      </w:tr>
      <w:tr>
        <w:trPr/>
        <w:tc>
          <w:tcPr>
            <w:tcW w:w="8164"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Income taxes paid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(1,130</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8164" w:type="dxa"/>
            <w:tcBorders/>
            <w:shd w:fill="FFFFFF" w:val="clear"/>
            <w:vAlign w:val="center"/>
          </w:tcPr>
          <w:p>
            <w:pPr>
              <w:pStyle w:val="TableContents"/>
              <w:bidi w:val="0"/>
              <w:spacing w:before="0" w:after="283"/>
              <w:jc w:val="left"/>
              <w:rPr/>
            </w:pPr>
            <w:r>
              <w:rPr/>
              <w:t>Interest paid on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(52,856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(19,801</w:t>
            </w:r>
          </w:p>
        </w:tc>
        <w:tc>
          <w:tcPr>
            <w:tcW w:w="104" w:type="dxa"/>
            <w:tcBorders/>
            <w:shd w:fill="FFFFFF" w:val="clear"/>
            <w:vAlign w:val="center"/>
          </w:tcPr>
          <w:p>
            <w:pPr>
              <w:pStyle w:val="TableContents"/>
              <w:bidi w:val="0"/>
              <w:spacing w:before="0" w:after="283"/>
              <w:ind w:left="0" w:right="0" w:hanging="180"/>
              <w:jc w:val="left"/>
              <w:rPr/>
            </w:pPr>
            <w:r>
              <w:rPr/>
              <w:t>)</w:t>
            </w:r>
          </w:p>
        </w:tc>
      </w:tr>
      <w:tr>
        <w:trPr/>
        <w:tc>
          <w:tcPr>
            <w:tcW w:w="81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b/>
              </w:rPr>
            </w:pPr>
            <w:r>
              <w:rPr>
                <w:b/>
              </w:rPr>
              <w:t>Supplemental disclosures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5,625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17,165</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Payment for purchase of property, plant and equipment in form of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3,443</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Borrowing costs capitalized as additional to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3,751</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Prepayments realized as additions to property, plant and equipment and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208,893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5,846</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Liabilities assumed in connection with acquisition of property, plant and equipment and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13,280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15,753</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Transfer of inventory to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796,930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146,788</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Cancellation of repurchased treasury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39,965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29,967</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Issuance of Class A ordinary shares in connection with settlement of convertible senior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43,804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112,951</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Transaction cost-related liabilities assumed in connection with the issuance of the convertible senior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714</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Borrowings from a related party in digital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316,553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Repayment of borrowings from a related party in digital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242,444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Digital assets placed as collateral for borrowings from 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357,600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Return of digital assets placed as collateral for borrowings from a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314,680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b/>
              </w:rPr>
            </w:pPr>
            <w:r>
              <w:rPr>
                <w:b/>
              </w:rPr>
              <w:t>Reconciliation of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456,838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299,792</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pPr>
            <w:r>
              <w:rPr/>
              <w:t>Restricted cash,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33,214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12,965</w:t>
            </w:r>
          </w:p>
        </w:tc>
        <w:tc>
          <w:tcPr>
            <w:tcW w:w="104" w:type="dxa"/>
            <w:tcBorders/>
            <w:shd w:fill="FFFFFF" w:val="clear"/>
            <w:vAlign w:val="center"/>
          </w:tcPr>
          <w:p>
            <w:pPr>
              <w:pStyle w:val="TableContents"/>
              <w:bidi w:val="0"/>
              <w:spacing w:before="0" w:after="283"/>
              <w:ind w:left="0" w:right="0" w:hanging="180"/>
              <w:jc w:val="left"/>
              <w:rPr/>
            </w:pPr>
            <w:r>
              <w:rPr/>
              <w:t> </w:t>
            </w:r>
          </w:p>
        </w:tc>
      </w:tr>
      <w:tr>
        <w:trPr/>
        <w:tc>
          <w:tcPr>
            <w:tcW w:w="8164" w:type="dxa"/>
            <w:tcBorders/>
            <w:shd w:fill="CCEEFF" w:val="clear"/>
            <w:vAlign w:val="center"/>
          </w:tcPr>
          <w:p>
            <w:pPr>
              <w:pStyle w:val="TableContents"/>
              <w:bidi w:val="0"/>
              <w:spacing w:before="0" w:after="283"/>
              <w:jc w:val="left"/>
              <w:rPr/>
            </w:pPr>
            <w:r>
              <w:rPr/>
              <w:t>Restricted cash,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6,236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6,144</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8164" w:type="dxa"/>
            <w:tcBorders/>
            <w:shd w:fill="FFFFFF" w:val="clear"/>
            <w:vAlign w:val="center"/>
          </w:tcPr>
          <w:p>
            <w:pPr>
              <w:pStyle w:val="TableContents"/>
              <w:bidi w:val="0"/>
              <w:spacing w:before="0" w:after="283"/>
              <w:jc w:val="left"/>
              <w:rPr>
                <w:b/>
              </w:rPr>
            </w:pPr>
            <w:r>
              <w:rPr>
                <w:b/>
              </w:rPr>
              <w:t>Total cash, cash equivalents and restricted cash shown in the statements of cash flows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496,288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318,901</w:t>
            </w:r>
          </w:p>
        </w:tc>
        <w:tc>
          <w:tcPr>
            <w:tcW w:w="10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net income taxes paid amounted to approximately US$0.4 million and US$54k in Singapore, and approximately US$1.8 million and US$1.1 million in jurisdictions outside Singapore, respectively. Income taxes paid in jurisdictions outside Singapore comprised approximately US$0.7 million and US$1.0 million in Norway, and US$1.1 million and US$22k in Bhutan, for the six months ended June 30, 2026 and 2025,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5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Bitdeer Technologies Group (the “Company” or “BTG”) is a limited liability company incorporated in the Cayman Islands on December 8, 2021. The address of its registered office is 89 Nexus Way, Camana Bay, Grand Cayman KY1-9009, Cayman Islands. BTG’s ordinary shares are listed on the Nasdaq Capital Market and trade under the symbol “BTDR”.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conduct any substantive operations of its own but conducts its primary business operations through its subsidiaries. The Company and its subsidiaries (together, the “Group”) are principally engaged in the following business activities:</w:t>
      </w:r>
    </w:p>
    <w:p>
      <w:pPr>
        <w:pStyle w:val="TextBody"/>
        <w:bidi w:val="0"/>
        <w:spacing w:before="0" w:after="0"/>
        <w:ind w:left="0" w:right="0" w:firstLine="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Group’s mining rigs operated in the Group’s own datacenters to provide hash calculation service to mining pool operators in exchange for digital asset rewards (the “Self-mining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Group’s mining rigs operated in third-party datacenters to provide hash calculation service to mining pool operators in exchange for digital asset rewards (the “Co-mining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manufacturing mining rigs with proprietary application-specific integrated circuit (“ASIC”) technology for the Self-mining business and the Co-mining business, and for sale of mining rigs and accessories to external parties (the “ASIC and mining rig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advanced cloud capabilities and high-performance computing services to customers with high demand for artificial intelligence (“AI”) and computing (the “AI cloud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to its customers plan subscriptions, from which the customers receive computing service in quantity measured in hash rate and benefit from such service as a result of directing the computing service to mining pools and receiving digital asset rewards (the “Cloud Hash Rate business”);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dynamic hosting solutions in the Group’s mining datacenters (the “Hosting business”, together with the Self-mining business, the Co-mining business, the ASIC and mining rig business, the AI cloud business and the Cloud Hash Rate business, the “Bitdeer Business”).</w:t>
            </w:r>
          </w:p>
        </w:tc>
      </w:tr>
    </w:tbl>
    <w:p>
      <w:pPr>
        <w:pStyle w:val="TextBody"/>
        <w:bidi w:val="0"/>
        <w:spacing w:before="0" w:after="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360" w:right="0" w:firstLine="48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consolidated financial statements as of June 30, 2026 and December 31, 2025, and for the six months ended June 30, 2026 and 2025 (the “Financial Statements”) have been prepared in accordance with the accounting principles generally accepted in the United States of America (“U.S. GAAP”) for interim financial information. They reflect all adjustments, consisting only of normal recurring adjustments, that management considers necessary for a fair statement of the results for the periods presented. Results for the six months ended June 30, 2026 are not necessarily indicative of the results to be expected for the year ending December 31, 2026. Significant accounting policies followed by the Group in the preparation of the Financial Statements are summarized below. As these are the Group’s first financial statements prepared under U.S. GAAP, the significant accounting policies are presented in full rather than limited to those that have changed since December 31, 2025. All amounts, except for share, per share data or otherwise noted, are rounded to the nearest thousands. </w:t>
      </w:r>
    </w:p>
    <w:p>
      <w:pPr>
        <w:pStyle w:val="TextBody"/>
        <w:bidi w:val="0"/>
        <w:spacing w:before="0" w:after="0"/>
        <w:ind w:left="720" w:right="0" w:firstLine="36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and balances between the Company and its subsidiaries have been eliminated upon consolidation.</w:t>
      </w:r>
    </w:p>
    <w:p>
      <w:pPr>
        <w:pStyle w:val="TextBody"/>
        <w:bidi w:val="0"/>
        <w:spacing w:before="0" w:after="0"/>
        <w:ind w:left="720" w:right="0" w:firstLine="36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5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 and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currency of the Group is the United States dollar (“USD”, “US$” or “$”). Items included in the financial statements of each of the Group’s subsidiaries are measured using the currency of the primary economic environment in which the subsidiary operates (the “functional currency”), based on the criteria of ASC Topic 830, Foreign Currency Matters.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currencies other than the functional currency are translated into the functional currency at the rates of exchange in place at the balance sheet date. Transactions in currencies other than the functional currency during the period are converted into the functional currency at the applicable rates of exchange prevailing when the transactions occurred. Transaction gains and losses are recognized in the consolidated statements of operations and comprehensive income (loss).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of the Group companies are translated from their respective functional currencies into the reporting currency at the exchange rates at the balance sheet dates, equity accounts are translated at historical exchange rates, and revenues and expenses are translated at the average exchange rates in effect during the reporting period. The resulting foreign currency translation adjustments are recorded in “accumulated other comprehensive income (loss)” as a component of shareholders’ equity.</w:t>
      </w:r>
    </w:p>
    <w:p>
      <w:pPr>
        <w:pStyle w:val="TextBody"/>
        <w:bidi w:val="0"/>
        <w:spacing w:before="0" w:after="0"/>
        <w:ind w:left="720" w:right="0" w:firstLine="36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17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the Financial Statements in conformity with U.S. GAAP requires management to make estimates and assumptions that affect the reported amounts of assets and liabilities at the balance sheet date and the reported amounts of revenues and expenses during the reporting periods.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estimate reflected in the Group’s Financial Statements is the impairment assessment of goodwill and indefinite-lived intangible assets, share-based compensation; useful lives of long-lived assets; impairment of long-lived assets; income taxes, including valuation allowance for deferred tax assets; and the fair value of level 3 financial instruments.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and outcomes may differ from management’s estimates and assumptions due to risks and uncertainties. To the extent that there are material differences between these estimates and actual results, the Financial Statements will be affected. The Group bases its estimates on historical experience and on various other assumptions that are believed to be reasonable, the result of which forms the basis for making judgments about the carrying values of assets and liabilities.</w:t>
      </w:r>
    </w:p>
    <w:p>
      <w:pPr>
        <w:pStyle w:val="TextBody"/>
        <w:bidi w:val="0"/>
        <w:spacing w:before="0" w:after="0"/>
        <w:ind w:left="720" w:right="0" w:firstLine="36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5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2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in banks and short-term, highly liquid investments that are readily convertible into known amounts of cash which are subject to an insignificant risk of changes in value and are within three months of maturity at acquisition.</w:t>
      </w:r>
    </w:p>
    <w:p>
      <w:pPr>
        <w:pStyle w:val="TextBody"/>
        <w:bidi w:val="0"/>
        <w:spacing w:before="0" w:after="0"/>
        <w:ind w:left="720" w:right="0" w:firstLine="36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2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cash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that is restricted as to withdrawal or for use or pledged as security is reported separately on the face of the consolidated balance sheets, and is included in the “total cash, cash equivalents, and restricted cash” in the consolidated statements of cash flows. The Group’s restricted cash mainly includes security deposits held in designated bank accounts under the terms of standby letters of credits arrangement and other contractual obligations.</w:t>
      </w:r>
    </w:p>
    <w:p>
      <w:pPr>
        <w:pStyle w:val="TextBody"/>
        <w:bidi w:val="0"/>
        <w:spacing w:before="0" w:after="0"/>
        <w:ind w:left="720" w:right="0" w:firstLine="36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18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contractual rights to receive cash or digital assets from revenue arrangements.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are recorded at the transaction price when the Group’s performance obligations are satisfied, either at a point in time or overtime. Accounts receivable denominated in digital assets represent rights to receive a fixed amount of digital assets at the time of invoicing and are initially and subsequently measured at the fair value of the underlying digital assets to be received, with changes in the fair value recorded in Other operating expenses, net in the consolidated statements of operations and comprehensive income (loss).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presented net of an allowance for expected credit losses determined in accordance with the Group’s current expected credit losses accounting policy described below.</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25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expected credit losses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assets measured at amortized cost, primarily accounts receivable and other receivables, are within the scope of ASC Topic 326, Financial Instruments – Credit Losses. The Group has identified the relevant risk characteristics of its customers and the related receivables, which include the type of products and services the Group provides, the nature of the customers, or a combination of these characteristics. Receivables with similar risk characteristics have been grouped into pools. For each pool, the Group considers historical credit loss experience, the aging of receivable balances, current economic conditions, and reasonable and supportable forecasts of future economic conditions, together with any recoveries, in assessing the lifetime expected credit losses. Effective January 1, 2026, the Group elected the practical expedient available under ASC Topic 326 for current accounts receivable and current contract assets arising from transactions accounted for under ASC Topic 606, pursuant to which the Group assumes that the conditions existing as of the balance sheet date remain unchanged over the remaining life of those assets and accordingly does not develop reasonable and supportable forecasts of future economic conditions in estimating expected credit losses for them. Forecasts of future economic conditions continue to be considered in estimating expected credit losses for financial assets outside the scope of the practical expedient, including other receivables. Other key factors that influence the expected credit loss analysis include the payment terms offered to customers in the normal course of business and industry-specific factors that could impact the Group’s receivables. The allowance for expected credit losses is remeasured at each reporting date, with the related provision for, or reversal of, credit losses recognized in the consolidated statements of operations and comprehensive income (loss), and receivables are presented net of the allowance. Receivable balances are written off against the allowance when the Group determines that they are uncollectible.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recognizes an allowance for receivables settled in digital assets using the general expected credit losses model in a manner similar to the model and consideration used for assessing credit losses from typical accounts receivable. Under this model, the Group calculates the allowance for credit losses by considering on a discounted basis, all expected shortfalls which are the difference between the quantity of digital asset due to the Group in accordance with the contract and the quantity of digital asset that the Group expects to receive, in various default scenarios for prescribed future periods and multiplying the shortfalls by the probability of each scenario occurring. The allowance on the financial asset is the sum of these probability-weighted outcomes. No allowance, write-offs or recoveries were recognized against the receivables settled in digital assets for the six months ended June 30, 2026 and 2025. </w:t>
      </w:r>
    </w:p>
    <w:p>
      <w:pPr>
        <w:pStyle w:val="TextBody"/>
        <w:bidi w:val="0"/>
        <w:spacing w:before="0" w:after="0"/>
        <w:ind w:left="720" w:right="0" w:firstLine="36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125"/>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are held in the Group’s digital asset wallets. The Group classifies the digital assets as current assets based on the intention to actively utilize or convert them within the normal operating cycle.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are, by their nature, identifiable non-monetary assets that lack physical substance. Future economic benefits attributable to these digital assets are expected to flow to the Group because these digital assets can be exchanged for fiat currencies. Furthermore, the cost of the Group’s digital assets can be measured using the quoted price of such digital assets at the time the fair value is being measured, which the Group considers to be predominantly a Level 1 fair value input under the fair value hierarchy.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350-60, Intangibles—Goodwill and Other—Crypto Assets, digital assets are initially recorded at the transaction price of the digital assets at initial recognition and are subsequently remeasured at fair value at the end of each reporting period, with changes in fair value recognized in fair value change of digital assets held for operations in the consolidated statements of operations and comprehensive income (loss). Realized gains and losses on disposition are recognized on a first-in-first-out basis. Fair value is measured using quoted digital assets prices within the Group’s principal market at the time of measurement. Gains and losses are influenced by the volume and mix of digital assets received and used, and the timing of the turnover of these digital assets.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720" w:right="0" w:firstLine="360"/>
        <w:jc w:val="both"/>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38"/>
        <w:gridCol w:w="12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w:t>
            </w:r>
          </w:p>
        </w:tc>
        <w:tc>
          <w:tcPr>
            <w:tcW w:w="13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Inventories, net</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inventories primarily comprise mining rigs, including the components and parts, partially assembled mining rigs and completed mining rigs. Inventories, consisting of raw materials, work-in-progress and finished goods, which are stated at the lower of cost and net realizable value. Cost is calculated using the standard cost method, which approximates actual cost based on a weighted average basis. The cost comprises all costs of purchase, costs of conversion, and other costs incurred in bringing the inventories to their present location and condition. Net realizable value is the estimated selling price in the ordinary course of business less the estimated costs of completion and the estimated costs necessary to make the sale.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inventories are reviewed for obsolescence, damage, or slow-moving stock. A write-down is recorded as the cost of revenue if the carrying amount exceeds the estimated net realizable value.</w:t>
      </w:r>
    </w:p>
    <w:p>
      <w:pPr>
        <w:pStyle w:val="TextBody"/>
        <w:bidi w:val="0"/>
        <w:spacing w:before="0" w:after="0"/>
        <w:ind w:left="720" w:right="0" w:firstLine="36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t>
            </w:r>
          </w:p>
        </w:tc>
        <w:tc>
          <w:tcPr>
            <w:tcW w:w="26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 and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measured at cost, less accumulated depreciation and impairment losses, if 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recorded at purchase cost. Direct labor and other directly attributable costs incurred to construct new assets and upgrade existing assets are capitalized. Repairs and maintenance expenditures are recognized in the consolidated statements of operations and comprehensive income (loss) as incurred. Significant renewals and betterments are capitalized.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depreciated using the straight-line method based on the estimated useful lives of the assets as follows:</w:t>
      </w:r>
    </w:p>
    <w:p>
      <w:pPr>
        <w:pStyle w:val="TextBody"/>
        <w:bidi w:val="0"/>
        <w:spacing w:before="0" w:after="0"/>
        <w:ind w:left="1080" w:right="0" w:hanging="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185"/>
        <w:gridCol w:w="5045"/>
        <w:gridCol w:w="60"/>
        <w:gridCol w:w="60"/>
        <w:gridCol w:w="1055"/>
        <w:gridCol w:w="75"/>
      </w:tblGrid>
      <w:tr>
        <w:trPr/>
        <w:tc>
          <w:tcPr>
            <w:tcW w:w="185" w:type="dxa"/>
            <w:tcBorders/>
            <w:shd w:fill="CCEEFF" w:val="clear"/>
            <w:vAlign w:val="center"/>
          </w:tcPr>
          <w:p>
            <w:pPr>
              <w:pStyle w:val="TableContents"/>
              <w:bidi w:val="0"/>
              <w:spacing w:before="0" w:after="283"/>
              <w:ind w:left="0" w:right="0" w:hanging="360"/>
              <w:jc w:val="left"/>
              <w:rPr/>
            </w:pPr>
            <w:r>
              <w:rPr/>
              <w:t>●</w:t>
            </w:r>
          </w:p>
        </w:tc>
        <w:tc>
          <w:tcPr>
            <w:tcW w:w="5045" w:type="dxa"/>
            <w:tcBorders/>
            <w:shd w:fill="CCEEFF" w:val="clear"/>
            <w:vAlign w:val="center"/>
          </w:tcPr>
          <w:p>
            <w:pPr>
              <w:pStyle w:val="TableContents"/>
              <w:bidi w:val="0"/>
              <w:spacing w:before="0" w:after="283"/>
              <w:jc w:val="left"/>
              <w:rPr/>
            </w:pPr>
            <w:r>
              <w:rPr/>
              <w:t>Buildings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15 - 20 years</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85" w:type="dxa"/>
            <w:tcBorders/>
            <w:shd w:fill="FFFFFF" w:val="clear"/>
            <w:vAlign w:val="center"/>
          </w:tcPr>
          <w:p>
            <w:pPr>
              <w:pStyle w:val="TableContents"/>
              <w:bidi w:val="0"/>
              <w:spacing w:before="0" w:after="283"/>
              <w:ind w:left="0" w:right="0" w:hanging="360"/>
              <w:jc w:val="left"/>
              <w:rPr/>
            </w:pPr>
            <w:r>
              <w:rPr/>
              <w:t>●</w:t>
            </w:r>
          </w:p>
        </w:tc>
        <w:tc>
          <w:tcPr>
            <w:tcW w:w="504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Indefinite</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85" w:type="dxa"/>
            <w:tcBorders/>
            <w:shd w:fill="CCEEFF" w:val="clear"/>
            <w:vAlign w:val="center"/>
          </w:tcPr>
          <w:p>
            <w:pPr>
              <w:pStyle w:val="TableContents"/>
              <w:bidi w:val="0"/>
              <w:spacing w:before="0" w:after="283"/>
              <w:ind w:left="0" w:right="0" w:hanging="360"/>
              <w:jc w:val="left"/>
              <w:rPr/>
            </w:pPr>
            <w:r>
              <w:rPr/>
              <w:t>●</w:t>
            </w:r>
          </w:p>
        </w:tc>
        <w:tc>
          <w:tcPr>
            <w:tcW w:w="5045" w:type="dxa"/>
            <w:tcBorders/>
            <w:shd w:fill="CCEEFF" w:val="clear"/>
            <w:vAlign w:val="center"/>
          </w:tcPr>
          <w:p>
            <w:pPr>
              <w:pStyle w:val="TableContents"/>
              <w:bidi w:val="0"/>
              <w:spacing w:before="0" w:after="283"/>
              <w:jc w:val="left"/>
              <w:rPr/>
            </w:pPr>
            <w:r>
              <w:rPr/>
              <w:t>Machinery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15 years</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85" w:type="dxa"/>
            <w:tcBorders/>
            <w:shd w:fill="FFFFFF" w:val="clear"/>
            <w:vAlign w:val="center"/>
          </w:tcPr>
          <w:p>
            <w:pPr>
              <w:pStyle w:val="TableContents"/>
              <w:bidi w:val="0"/>
              <w:spacing w:before="0" w:after="283"/>
              <w:ind w:left="0" w:right="0" w:hanging="360"/>
              <w:jc w:val="left"/>
              <w:rPr/>
            </w:pPr>
            <w:r>
              <w:rPr/>
              <w:t>●</w:t>
            </w:r>
          </w:p>
        </w:tc>
        <w:tc>
          <w:tcPr>
            <w:tcW w:w="5045" w:type="dxa"/>
            <w:tcBorders/>
            <w:shd w:fill="FFFFFF" w:val="clear"/>
            <w:vAlign w:val="center"/>
          </w:tcPr>
          <w:p>
            <w:pPr>
              <w:pStyle w:val="TableContents"/>
              <w:bidi w:val="0"/>
              <w:spacing w:before="0" w:after="283"/>
              <w:jc w:val="left"/>
              <w:rPr/>
            </w:pPr>
            <w:r>
              <w:rPr/>
              <w:t>Electronic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15 years</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85" w:type="dxa"/>
            <w:tcBorders/>
            <w:shd w:fill="CCEEFF" w:val="clear"/>
            <w:vAlign w:val="center"/>
          </w:tcPr>
          <w:p>
            <w:pPr>
              <w:pStyle w:val="TableContents"/>
              <w:bidi w:val="0"/>
              <w:spacing w:before="0" w:after="283"/>
              <w:ind w:left="0" w:right="0" w:hanging="360"/>
              <w:jc w:val="left"/>
              <w:rPr/>
            </w:pPr>
            <w:r>
              <w:rPr/>
              <w:t>●</w:t>
            </w:r>
          </w:p>
        </w:tc>
        <w:tc>
          <w:tcPr>
            <w:tcW w:w="5045" w:type="dxa"/>
            <w:tcBorders/>
            <w:shd w:fill="CCEEFF" w:val="clear"/>
            <w:vAlign w:val="center"/>
          </w:tcPr>
          <w:p>
            <w:pPr>
              <w:pStyle w:val="TableContents"/>
              <w:bidi w:val="0"/>
              <w:spacing w:before="0" w:after="283"/>
              <w:jc w:val="left"/>
              <w:rPr/>
            </w:pPr>
            <w:r>
              <w:rPr/>
              <w:t>Leasehold improvements and property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15 years</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85" w:type="dxa"/>
            <w:tcBorders/>
            <w:shd w:fill="FFFFFF" w:val="clear"/>
            <w:vAlign w:val="center"/>
          </w:tcPr>
          <w:p>
            <w:pPr>
              <w:pStyle w:val="TableContents"/>
              <w:bidi w:val="0"/>
              <w:spacing w:before="0" w:after="283"/>
              <w:ind w:left="0" w:right="0" w:hanging="360"/>
              <w:jc w:val="left"/>
              <w:rPr/>
            </w:pPr>
            <w:r>
              <w:rPr/>
              <w:t>●</w:t>
            </w:r>
          </w:p>
        </w:tc>
        <w:tc>
          <w:tcPr>
            <w:tcW w:w="5045" w:type="dxa"/>
            <w:tcBorders/>
            <w:shd w:fill="FFFFFF" w:val="clear"/>
            <w:vAlign w:val="center"/>
          </w:tcPr>
          <w:p>
            <w:pPr>
              <w:pStyle w:val="TableContents"/>
              <w:bidi w:val="0"/>
              <w:spacing w:before="0" w:after="283"/>
              <w:jc w:val="left"/>
              <w:rPr/>
            </w:pPr>
            <w:r>
              <w:rPr/>
              <w:t>Containerized solution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 8 years</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85" w:type="dxa"/>
            <w:tcBorders/>
            <w:shd w:fill="CCEEFF" w:val="clear"/>
            <w:vAlign w:val="center"/>
          </w:tcPr>
          <w:p>
            <w:pPr>
              <w:pStyle w:val="TableContents"/>
              <w:bidi w:val="0"/>
              <w:spacing w:before="0" w:after="283"/>
              <w:ind w:left="0" w:right="0" w:hanging="360"/>
              <w:jc w:val="left"/>
              <w:rPr/>
            </w:pPr>
            <w:r>
              <w:rPr/>
              <w:t>●</w:t>
            </w:r>
          </w:p>
        </w:tc>
        <w:tc>
          <w:tcPr>
            <w:tcW w:w="5045" w:type="dxa"/>
            <w:tcBorders/>
            <w:shd w:fill="CCEEFF" w:val="clear"/>
            <w:vAlign w:val="center"/>
          </w:tcPr>
          <w:p>
            <w:pPr>
              <w:pStyle w:val="TableContents"/>
              <w:bidi w:val="0"/>
              <w:spacing w:before="0" w:after="283"/>
              <w:jc w:val="left"/>
              <w:rPr/>
            </w:pPr>
            <w:r>
              <w:rPr/>
              <w:t>Graphics Processing Unit (“GPU”)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years</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85" w:type="dxa"/>
            <w:tcBorders/>
            <w:shd w:fill="FFFFFF" w:val="clear"/>
            <w:vAlign w:val="center"/>
          </w:tcPr>
          <w:p>
            <w:pPr>
              <w:pStyle w:val="TableContents"/>
              <w:bidi w:val="0"/>
              <w:spacing w:before="0" w:after="283"/>
              <w:ind w:left="0" w:right="0" w:hanging="360"/>
              <w:jc w:val="left"/>
              <w:rPr/>
            </w:pPr>
            <w:r>
              <w:rPr/>
              <w:t>●</w:t>
            </w:r>
          </w:p>
        </w:tc>
        <w:tc>
          <w:tcPr>
            <w:tcW w:w="5045" w:type="dxa"/>
            <w:tcBorders/>
            <w:shd w:fill="FFFFFF" w:val="clear"/>
            <w:vAlign w:val="center"/>
          </w:tcPr>
          <w:p>
            <w:pPr>
              <w:pStyle w:val="TableContents"/>
              <w:bidi w:val="0"/>
              <w:spacing w:before="0" w:after="283"/>
              <w:jc w:val="left"/>
              <w:rPr/>
            </w:pPr>
            <w:r>
              <w:rPr/>
              <w:t>Mining rigs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3 years</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85" w:type="dxa"/>
            <w:tcBorders/>
            <w:shd w:fill="CCEEFF" w:val="clear"/>
            <w:vAlign w:val="center"/>
          </w:tcPr>
          <w:p>
            <w:pPr>
              <w:pStyle w:val="TableContents"/>
              <w:bidi w:val="0"/>
              <w:spacing w:before="0" w:after="283"/>
              <w:ind w:left="0" w:right="0" w:hanging="360"/>
              <w:jc w:val="left"/>
              <w:rPr/>
            </w:pPr>
            <w:r>
              <w:rPr/>
              <w:t>●</w:t>
            </w:r>
          </w:p>
        </w:tc>
        <w:tc>
          <w:tcPr>
            <w:tcW w:w="504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10 years</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acquired by the Group has an indefinite useful life and therefore is not depreciated.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depreciation method, useful lives and residual value of an asset are reviewed when events or changes in circumstances indicate that the current estimates may no longer be appropriate, and any changes are accounted for prospectively as a change in accounting estimate. Effective from July 2025, substantially all mining rigs were estimated to have a useful life of two to three years. The revision reflects the Group’s reassessment of the period over which mining rigs are expected to deliver their expected performance, having regard to the increasing frequency of technological advancement leading to new generations of mining rigs, and aligns the Group’s estimates with prevailing industry practice. Prior to July 2025, the estimated useful lives were consistent with those applied in the year ended December 31, 2024, whereby mining rigs had useful lives ranging from two to five years. These revisions apply only to mining rigs held by the Group as of the respective effective dates; mining rigs deployed subsequently continue to be depreciated based on the useful lives and residual values determined at the time of deployment. The Group also reduced the estimated residual values of substantially all of its mining rigs. Residual values are estimated based on the expected recoverable amount of the mining rigs at the expected time of disposal, taking into consideration factors such as make and model.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assets are retired or otherwise disposed of, their cost and the related accumulated depreciation are derecognized from the consolidated balance sheets and the resulting gains or losses on the disposal or sale of the assets are recognized in the consolidated statements of operations and comprehensive income (loss).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asset under construction is stated at cost until the construction is completed, at which time it is reclassified to the property, plant and equipment account to which it relates. During the construction period until the asset is ready for its intended use or sale, borrowing costs, which include interest expense and foreign currency exchange differences arising from foreign currency borrowings to the extent that they are regarded as an adjustment to interest expense, are capitalized in proportion to the average amount of accumulated expenditures during the period. Capitalization of borrowing costs ceases when the construction is completed, and the asset is ready for its intended use or sale. </w:t>
      </w:r>
    </w:p>
    <w:p>
      <w:pPr>
        <w:pStyle w:val="TextBody"/>
        <w:bidi w:val="0"/>
        <w:spacing w:before="0" w:after="0"/>
        <w:ind w:left="1080" w:right="0" w:hanging="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12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by the Group are stated at cost less accumulated amortization (where the estimated useful life is finite) and impairment losses. The intangible assets acquired as part of a business combination transaction are recognized at their fair value at the acquisition date. All intangible assets with finite lives are amortized using the straight-line method over their estimated useful lives.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not amortized where their useful lives are assessed to be indefinite. Intangible assets with indefinite useful life are tested for impairment annually or more frequently, if events or changes in circumstances indicate that they might be impaired in accordance with ASC Subtopic 350-30, Intangibles-Goodwill and Other: General Intangibles Other than Goodwill (“ASC 350-30”).</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weighted average useful lives from the date of purchases are as follows:</w:t>
      </w:r>
    </w:p>
    <w:p>
      <w:pPr>
        <w:pStyle w:val="TextBody"/>
        <w:bidi w:val="0"/>
        <w:spacing w:before="0" w:after="0"/>
        <w:ind w:left="720" w:right="0" w:firstLine="360"/>
        <w:jc w:val="both"/>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185"/>
        <w:gridCol w:w="4295"/>
        <w:gridCol w:w="60"/>
        <w:gridCol w:w="60"/>
        <w:gridCol w:w="4430"/>
        <w:gridCol w:w="75"/>
      </w:tblGrid>
      <w:tr>
        <w:trPr/>
        <w:tc>
          <w:tcPr>
            <w:tcW w:w="185" w:type="dxa"/>
            <w:tcBorders/>
            <w:shd w:fill="CCEEFF" w:val="clear"/>
            <w:vAlign w:val="center"/>
          </w:tcPr>
          <w:p>
            <w:pPr>
              <w:pStyle w:val="TableContents"/>
              <w:bidi w:val="0"/>
              <w:spacing w:before="0" w:after="283"/>
              <w:ind w:left="0" w:right="0" w:hanging="360"/>
              <w:jc w:val="left"/>
              <w:rPr/>
            </w:pPr>
            <w:r>
              <w:rPr/>
              <w:t>●</w:t>
            </w:r>
          </w:p>
        </w:tc>
        <w:tc>
          <w:tcPr>
            <w:tcW w:w="4295" w:type="dxa"/>
            <w:tcBorders/>
            <w:shd w:fill="CCEEFF" w:val="clear"/>
            <w:vAlign w:val="center"/>
          </w:tcPr>
          <w:p>
            <w:pPr>
              <w:pStyle w:val="TableContents"/>
              <w:bidi w:val="0"/>
              <w:spacing w:before="0" w:after="283"/>
              <w:jc w:val="left"/>
              <w:rPr/>
            </w:pPr>
            <w:r>
              <w:rPr/>
              <w:t>Rights to electrical capacity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Lease term of the datacenter or the access rights period</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85" w:type="dxa"/>
            <w:tcBorders/>
            <w:shd w:fill="FFFFFF" w:val="clear"/>
            <w:vAlign w:val="center"/>
          </w:tcPr>
          <w:p>
            <w:pPr>
              <w:pStyle w:val="TableContents"/>
              <w:bidi w:val="0"/>
              <w:spacing w:before="0" w:after="283"/>
              <w:ind w:left="0" w:right="0" w:hanging="360"/>
              <w:jc w:val="left"/>
              <w:rPr/>
            </w:pPr>
            <w:r>
              <w:rPr/>
              <w:t>●</w:t>
            </w:r>
          </w:p>
        </w:tc>
        <w:tc>
          <w:tcPr>
            <w:tcW w:w="4295" w:type="dxa"/>
            <w:tcBorders/>
            <w:shd w:fill="FFFFFF" w:val="clear"/>
            <w:vAlign w:val="center"/>
          </w:tcPr>
          <w:p>
            <w:pPr>
              <w:pStyle w:val="TableContents"/>
              <w:bidi w:val="0"/>
              <w:spacing w:before="0" w:after="283"/>
              <w:jc w:val="left"/>
              <w:rPr/>
            </w:pPr>
            <w:r>
              <w:rPr/>
              <w:t>Technologies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185" w:type="dxa"/>
            <w:tcBorders/>
            <w:shd w:fill="CCEEFF" w:val="clear"/>
            <w:vAlign w:val="center"/>
          </w:tcPr>
          <w:p>
            <w:pPr>
              <w:pStyle w:val="TableContents"/>
              <w:bidi w:val="0"/>
              <w:spacing w:before="0" w:after="283"/>
              <w:ind w:left="0" w:right="0" w:hanging="360"/>
              <w:jc w:val="left"/>
              <w:rPr/>
            </w:pPr>
            <w:r>
              <w:rPr/>
              <w:t>●</w:t>
            </w:r>
          </w:p>
        </w:tc>
        <w:tc>
          <w:tcPr>
            <w:tcW w:w="4295" w:type="dxa"/>
            <w:tcBorders/>
            <w:shd w:fill="CCEEFF" w:val="clear"/>
            <w:vAlign w:val="center"/>
          </w:tcPr>
          <w:p>
            <w:pPr>
              <w:pStyle w:val="TableContents"/>
              <w:bidi w:val="0"/>
              <w:spacing w:before="0" w:after="283"/>
              <w:jc w:val="left"/>
              <w:rPr/>
            </w:pPr>
            <w:r>
              <w:rPr/>
              <w:t>Patents, trademarks, royalties and other rights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3 - 5 years</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185" w:type="dxa"/>
            <w:tcBorders/>
            <w:shd w:fill="FFFFFF" w:val="clear"/>
            <w:vAlign w:val="center"/>
          </w:tcPr>
          <w:p>
            <w:pPr>
              <w:pStyle w:val="TableContents"/>
              <w:bidi w:val="0"/>
              <w:spacing w:before="0" w:after="283"/>
              <w:ind w:left="0" w:right="0" w:hanging="360"/>
              <w:jc w:val="left"/>
              <w:rPr/>
            </w:pPr>
            <w:r>
              <w:rPr/>
              <w:t>●</w:t>
            </w:r>
          </w:p>
        </w:tc>
        <w:tc>
          <w:tcPr>
            <w:tcW w:w="4295" w:type="dxa"/>
            <w:tcBorders/>
            <w:shd w:fill="FFFFFF" w:val="clear"/>
            <w:vAlign w:val="center"/>
          </w:tcPr>
          <w:p>
            <w:pPr>
              <w:pStyle w:val="TableContents"/>
              <w:bidi w:val="0"/>
              <w:spacing w:before="0" w:after="283"/>
              <w:jc w:val="left"/>
              <w:rPr/>
            </w:pPr>
            <w:r>
              <w:rPr/>
              <w:t>Software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3 -10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23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assets and liabilities acquired in a business combination.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depreciated or amortized but is tested for impairment on an annual basis, and in between annual tests when an event occurs or circumstances change that could indicate that the asset might be impaired. In accordance with ASU 2017-04, Intangibles—Goodwill and Other (Topic 350): Simplifying the Test for Goodwill Impairment issued by the Financial Accounting Standards Board (“FASB”) guidance on testing of goodwill for impairment, the Group first assesses qualitative factors to determine whether it is more likely than not that the fair value of a reporting unit is less than its carrying amount. If as a result of the qualitative assessment,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between the fair value of the reporting unit and its carrying amount will be recorded.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Group’s goodwill is assigned to the Self-mining reporting unit. The carrying amount of goodwill remained unchanged at US$35.8 million as of June 30, 2026 and December 31, 2025, with no additions, disposals or impairment charges recognized during the six months ended June 30, 2026 and 2025.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813" w:type="dxa"/>
        <w:jc w:val="left"/>
        <w:tblInd w:w="0" w:type="dxa"/>
        <w:tblLayout w:type="fixed"/>
        <w:tblCellMar>
          <w:top w:w="0" w:type="dxa"/>
          <w:left w:w="0" w:type="dxa"/>
          <w:bottom w:w="0" w:type="dxa"/>
          <w:right w:w="0" w:type="dxa"/>
        </w:tblCellMar>
      </w:tblPr>
      <w:tblGrid>
        <w:gridCol w:w="38"/>
        <w:gridCol w:w="170"/>
        <w:gridCol w:w="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w:t>
            </w:r>
          </w:p>
        </w:tc>
        <w:tc>
          <w:tcPr>
            <w:tcW w:w="6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 a lessee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Group’s rights to use underlying assets for the lease term and lease liabilities represent the Group’s obligation to make lease payments arising from the lease. Operating lease ROU assets and liabilities are recognized at commencement date based on the present value of lease payments over the lease term, reduced by lease incentives received, plus any initial direct costs, using the discount rate for the lease at the commencement date. As the implicit rate in the lease is not readily determinable for the Group’s operating leases, the Group generally uses the incremental borrowing rate based on the estimated rate of interest for collateralized borrowing over a similar term of the lease payments at commencement date. The Group’s lease terms may include options to extend or terminate the lease when it is reasonably certain that the Group will exercise that option. Lease expense for lease payments is recognized on a straight-line basis over the lease term. The Group did not elect, for all classes of underlying assets, the practical expedient under ASC 842-10-15-37 not to separate non-lease components from the associated lease components and instead accounts for each lease component and its associated non-lease components as a single lease component, except for the colocation property asset class. The Group has no material finance leases for any of the periods presented.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elected the short-term lease exemption for all contracts with lease terms of 12 months or less.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ROU asset is determined to be impaired, the Group measures the impairment loss and reduces the carrying amount of the ROU asset to its impaired carrying amount. The remaining balance of the ROU asset after the impairment is amortized on a straight-line basis from the date of impairment to the earlier of the end of the useful life of the ROU asset or the end of the lease term. For operating lease, the single lease cost recognized in net income after an impairment event is calculated as the sum of: (a) amortization of the remaining balance of the ROU asset after the impairment, and (b) accretion of the lease liability, determined for each remaining period during the lease term as the amount that produces a constant periodic discount rate on the remaining balance of the liability.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 a lessor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is a lessor, minimum contractual rental from leases is recognized on a straight-line basis over the non-cancellable term of the lease. Straight-line rental revenue commences when the customer assumes the control of the leased asset. Rental income is included in revenue in the consolidated statements of operations and comprehensive income (loss).</w:t>
      </w:r>
    </w:p>
    <w:p>
      <w:pPr>
        <w:pStyle w:val="TextBody"/>
        <w:bidi w:val="0"/>
        <w:spacing w:before="0" w:after="0"/>
        <w:ind w:left="720" w:right="0" w:firstLine="36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Share-based compensation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share-based awards issued to employees and non-employees in accordance with ASC Topic 718, Compensation – Stock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share-based awards and non-employees’ share-based awards are measured at the grant date fair value of the awards and recognized as expenses a) immediately at grant date if no vesting conditions are required; or b) using graded vesting method over the requisite service period, which is the vesting period. The Group elects to recognize forfeitures when they occur.</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terms or conditions of a share-based award, or cancellation of a share-based award accompanied by the concurrent grant of a replacement award is accounted for as a modification (that is, an exchange of the original award for a new award), unless the award’s fair value, vesting conditions, and classification as an equity instrument are the same as immediately before and after the change. The Group recognizes incremental compensation cost for an amount equal to the excess of the fair value of the modified award over the fair value of the original award immediately before the modification. Therefore, in relation to the modified award, the Group recognizes share-based compensation over the vesting periods of the modified award.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170"/>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w:t>
            </w:r>
          </w:p>
        </w:tc>
        <w:tc>
          <w:tcPr>
            <w:tcW w:w="1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revenues are derived principally from self-mining arrangements, co-mining arrangements, sales of mining rigs and accessories, cloud hash rate arrangements, hosting arrangements (including general, membership and cloud hosting) and AI cloud services.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over goods or services is transferred to the customer, at the amount of promised consideration to which the Group is expected to be entitled. Revenue excludes value-added tax (“VAT”) or other sales taxes and is after deduction of trade discount, if any.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applying the following five steps:</w:t>
      </w:r>
    </w:p>
    <w:p>
      <w:pPr>
        <w:pStyle w:val="TextBody"/>
        <w:bidi w:val="0"/>
        <w:spacing w:before="0" w:after="0"/>
        <w:ind w:left="72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4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contract with a customer;</w:t>
            </w:r>
          </w:p>
        </w:tc>
      </w:tr>
    </w:tbl>
    <w:p>
      <w:pPr>
        <w:pStyle w:val="TextBody"/>
        <w:bidi w:val="0"/>
        <w:spacing w:before="0" w:after="0"/>
        <w:ind w:left="1440" w:right="0" w:firstLine="48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20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performance obligations in the contract;</w:t>
            </w:r>
          </w:p>
        </w:tc>
      </w:tr>
    </w:tbl>
    <w:p>
      <w:pPr>
        <w:pStyle w:val="TextBody"/>
        <w:bidi w:val="0"/>
        <w:spacing w:before="0" w:after="0"/>
        <w:ind w:left="1440" w:right="0" w:firstLine="48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6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the transaction price;</w:t>
            </w:r>
          </w:p>
        </w:tc>
      </w:tr>
    </w:tbl>
    <w:p>
      <w:pPr>
        <w:pStyle w:val="TextBody"/>
        <w:bidi w:val="0"/>
        <w:spacing w:before="0" w:after="0"/>
        <w:ind w:left="1440" w:right="0" w:firstLine="48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45"/>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Allocate the transaction price to the performance obligations in the contract; and</w:t>
            </w:r>
          </w:p>
        </w:tc>
      </w:tr>
    </w:tbl>
    <w:p>
      <w:pPr>
        <w:pStyle w:val="TextBody"/>
        <w:bidi w:val="0"/>
        <w:spacing w:before="0" w:after="0"/>
        <w:ind w:left="1440" w:right="0" w:firstLine="48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85"/>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revenue when (or as) the Group satisfies a performance obligation.</w:t>
            </w:r>
          </w:p>
        </w:tc>
      </w:tr>
    </w:tbl>
    <w:p>
      <w:pPr>
        <w:pStyle w:val="TextBody"/>
        <w:bidi w:val="0"/>
        <w:spacing w:before="0" w:after="0"/>
        <w:ind w:left="1440" w:right="0" w:firstLine="48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priced at fiat currency, the Group recognizes revenue based on the contract price. For arrangement priced at digital asset, the Group recognizes revenue based on the spot price of the digital asset to fiat currency on the date when it is earned.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another party is involved in providing services to a customer, the Group is the principal if it controls the specified services before those services are transferred to the customer.</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sources of Group’s revenues are recognized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Self-mining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contracts with mining pool operators to provide a service to the mining pool operators to perform hash calculations using the Group’s own mining rigs. Self-mining revenue comprises the consideration earned from hash calculation services performed using mining rigs deployed at datacenters that the Group owns, or leases and operates. The Group considers the mining pool operators as the customers under this type of arrangement and can decide when to start providing services. The Group’s enforceable right to consideration begins when, and continues as long as, the Group provides hash calculation services to the mining pool operators. Each party to the contract has the unilateral right to terminate the contract at any time without any compensation to the other party for such a termination. As such, the duration of a contract is less than a day and the contract continuously renews throughout the day. The implied renewal option is not a material right because there are no upfront or incremental fees in the initial contract and the terms, conditions, and compensation amount for the renewal options are at the then market rates.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providing hash calculation service to the mining pool operators, the Group is entitled to non-cash compensation, digital asset, from the mining pool operators, which is a variable consideration based on the mining pool operators’ distribution mechanisms, which can differ depending on the specific mining pools. For the periods presented, the Group primarily participated in Bitcoin mining to generate its self-mining revenues, and the payment mechanisms used by the mining pool operators were Full-Pay-Per-Share (“FPPS”), Pay-Per-Share-Plus (“PPS+”) and Transparent Index of Distinct Extended Shares (“TIDES”). The Group mainly participates in mining pools operators that use the FPPS payment mechanism.</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consideration includes block rewards and transaction fees, less mining pool fees. For FPPS and PPS+ pools, the Group is entitled to non-cash consideration even if a block is not successfully validated by the mining pool operators. For the TIDES payment mechanism, the Group’s entitlement to non-cash consideration is variable and dependent upon the successful validation of a block by the mining pool operator, and is not included in the transaction price until the uncertainty is resolved.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FPPS Mining Pools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entitled to compensation once it begins to perform hash calculations for the mining pool operator in accordance with the operator’s specifications over a 24-hour period beginning mid-night UTC and ending at 23:59:59 UTC on a daily basis. The non-cash consideration that the Group is entitled to for providing hash calculations to the mining pool operator under the FPPS payment mechanism is made up of block rewards and transaction fees less pool operator fees determined as follows:</w:t>
      </w:r>
    </w:p>
    <w:p>
      <w:pPr>
        <w:pStyle w:val="TextBody"/>
        <w:bidi w:val="0"/>
        <w:spacing w:before="0" w:after="0"/>
        <w:ind w:left="72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consideration referred as the block reward is based on the total blocks expected to be generated on the Bitcoin Network for the daily 24-hour period beginning midnight UTC and ending 23:59:59 UTC in accordance with the following formula: the daily hash calculations that the Group provides to the pool operator as a percent of the Bitcoin Network’s implied hash calculations as determined by the network difficulty, multiplied by the total Bitcoin Network block rewards expected to be generated for the same daily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non-cash consideration referred as the transaction fees is based on the share of total actual fees paid by the transaction requestor to each block placed in the Bitcoin Blockchain over the daily 24-hour period beginning midnight UTC and ending 23:59:59 UTC in accordance with the following formula: total actual transaction fees generated on the Bitcoin Network during the daily 24-hour period as a percent of the total block rewards the Bitcoin Network actually generated during the same 24-hour period, multiplied by the block rewards the Group earned for the same 24-hour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non-cash compensation, consisting of the block reward and transaction fees, earned by the Group is reduced by the mining pool fees charged by the operator for operating the pool based on a rate schedule per the mining pool contract. The mining pool fee is only incurred to the extent the Group performs hash calculations and generates revenue in accordance with the pool operator’s payout formula during the same daily period as discussed above.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PPS+ Mining Pool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participates in one PPS+ mining pool that provides non-cash consideration determined in a manner similar to the FPPS mining pools except the amount of transaction fees from the PPS+ mining pool operator is determined based on the share of actual transaction fees paid to the specific blocks the mining pool successfully mined in the Bitcoin Blockchain in a daily 24-hour period in accordance with the operator’s specifications. The transaction fees are determined using the following formula: the hash calculations that the Group provides to the pool operator as a percent of the total relevant hash calculations performed by the mining pool operator under PPS+, multiplied by actual transaction fees paid to the specific blocks a mining pool operator successfully mined under PPS+ in the Bitcoin Blockchain.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TIDES Mining Pool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entitlement to non-cash consideration referred as the block rewards is determined by its proportion of hash calculation contributions to a specific window of hash calculations at the time a block is successfully validated. The pool operator defines this ‘latest number of shares’ (the window size) within its reward policy. The non-cash consideration under the TIDES payment mechanism is calculated with the following formula: the Group’s submitted share of the total shares in this window, multiplied by the block rewards and transaction fees earned on the Bitcoin Blockchain. Transaction fees are determined in a manner consistent with the PPS+ mining pool, based on the actual fees attributable to successfully validated blocks.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non-cash consideration is variable since the amount of block reward earned depends on the amount of hash calculations the Group performs; the amount of transaction fees depends on the total actual fees paid by the transaction requestor to each block placed in the Bitcoin Blockchain under FPPS, and the actual transaction fees paid to the specific blocks a mining pool operator successfully mined over the daily period under PPS+ and TIDES; and the operator fees for the same period are variable since it is determined based on the total block rewards and transaction fees in accordance with the pool operator’s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non-cash consideration is variable, the Group has the ability to estimate the variable consideration when the Group begins to provide hash calculation service with reasonable certainty without the risk of significant revenue reversal. The Group recognizes the non-cash consideration on the same day that control of the contracted service transfers to the mining pool operator and measures the non-cash consideration based on the spot rate of the underlying digital asset determined using the quoted price of such digital asset, as described in Note 2(i), at midnight UTC, on the date on which the Group provides the hash calculation service.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non-cash consideration the mining pool operators receive from the blockchain networks includes both the block rewards and the transaction fees, the transaction price the Group receives is an aggregate amount and primarily includes the block rewards. As a result, the Group does not present disaggregated revenue information on block rewards and transaction fees.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Co-mining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deploys mining rigs that it owns at datacenters owned and operated by third parties, which provide electrical capacity, site infrastructure and, in most cases, operating services for the mining rigs. The Group considers the mining pool operators to be the customers under this type of arrangement, and recognizes as revenue the full amount of the non-cash consideration to which it is entitled from the mining pool operator, on the same basis as self-mining revenue described above.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Sale of mining rigs and accessories</w:t>
      </w:r>
    </w:p>
    <w:p>
      <w:pPr>
        <w:pStyle w:val="TextBody"/>
        <w:bidi w:val="0"/>
        <w:spacing w:before="0" w:after="0"/>
        <w:ind w:left="240" w:right="0" w:firstLine="72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from sale of mining rigs and accessories to customers at the point in time when control of the mining rigs is transferred to the customer, which generally occurs upon shipment of the mining rigs as defined in the revenue contract. Sale of mining rigs and accessories is the sole performance obligation in this type of arrangement. The Group accepts both digital asset and fiat currency as payments for sale of mining rigs and accessories.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Cloud Hash Rate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Cloud Hash Rate arrangements with its customers by offering hash rate subscription plans to provide computing power in a specified quantity, measured by computing power per second, or hash rate, derived from the mining rigs held by the Group, for a specified period of time. The customer also needs to pay for electricity subscriptions, which are billed separately, to maintain the mining rigs that produce the subscribed hash rate over the contract period. The Group connects such computing power to a customer-designated mining pool under the instructions of the customer to simplify the customer’s mining experiences. As a result of directing the connection of such computing power to the mining pools, the customers are entitled to the mining rewards, which are directly transferred from mining pools to the customer-designated digital asset wallets.</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a number of different hash rate subscription plans by plan duration and type of digital asset to be mined. The Group offers electricity subscriptions in short durations and a customer needs to purchase electricity subscriptions multiple times to cover the duration of the hash rate subscription plan. The price of the electricity subscription is fixed at the commencement of each electricity subscription period but subject to adjustment from period to period. Both digital asset and fiat currency are accepted as payments under the Cloud Hash Rate arrangements. Furthermore, the hash rate subscription plans are offered under two modes. Under the classic mode, the customer receives all of the mining rewards from the mining pool. Under the accelerator mode, the customer pays a relatively lower computing power subscription fee. In exchange, the Group is entitled to additional consideration once the customer’s cost is recovered.</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two promises under the Cloud Hash Rate arrangement. One is to provide a specified quantity of computing power during a period of time and the other is to provide maintenance services for computing power generation for a period of time. The two promises are highly interrelated and are not separately identifiable because the customers expect to receive the computing power as a combined output from the hash rate subscription plan and the electricity subscription plan.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of the performance obligation includes the subscription prices for the hash rate subscription plans and the electricity subscription plans. As the price for the electricity subscription plans may change each electricity subscription period, the Group allocates the variable consideration to each electricity subscription period.</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of the computing power has been transferred to the customers simultaneously as the customers consume the benefits from the computing power. The revenue is recognized over time where the consideration related to the hash rate subscription is recognized evenly over the contract term and the electricity subscription is allocated to and recognized evenly over each electricity subscription period.</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plans under the accelerator mode, besides the aforementioned subscription prices, the transaction price also includes an additional consideration once the customer’s cost is recovered. The additional consideration, which is variable, is determined as a percentage of a customer’s mining profit derived from the subscribed computing power and constrained until the mining pool operator finishes the calculation of the mining reward related to the mining activity in a given day. The Group includes such additional consideration in the transaction price and recognizes the revenue when the Group can reasonably calculate the amount and determine it is probable a significant reversal will not occur.</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General Hosting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general hosting services, which is a combined service package including custody of the customers’ mining rigs, electricity and network maintenance and other services, that enable customers to run blockchain computing operations. The customer is only able to benefit from the hosting service as a package and the Group has a single performance obligation. The hosting service fee is charged to the customer based on the customer’s consumption of resources, such as the amount of electricity used in a period. In the arrangement with certain customers, the Group is also entitled to additional variable consideration based on the customer’s mining yield during a period. Revenue from the general hosting service is recognized across each service cycle. The Group accepts both digital asset and fiat currency as payments for the hosting services.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Membership Hosting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its large-scale miner customers membership hosting services by entering into a series of contracts, which includes a membership program agreement and a management services agreement. These contracts are signed with the same customer at or near the same time, and they are combined and accounted for as a single contract.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membership program agreement, a customer subscribing the program is entitled to the program benefit of receiving maintenance services within a predetermined capacity measured by energy consumption (i.e., Kilowatts, or KW) (the “hosting capacity”). The Group provides such designated capacity in a leased mining datacenter and the program subscription period ends when the Group no longer operates the mining datacenter. In addition, the Group also agrees to provide other program benefits to the customer when such benefits are readily available to the customer during the program term, including, among other things, (i) early, priority and exclusive access to the newly available hosting capacity that is sufficient for large-scale miners, upon a new mining datacenter becomes available and (ii) more favorable pricing terms for the Group’s services, such as mining rigs management services, than the prevailing price in the local market. The Group charges an upfront fee for the program benefits subscribed.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services agreement, the Group provides management services for the customer’s mining rigs up to the capacity subscribed in the membership program agreement. In exchange for the management services fee, the Group promises to deliver a package of services to provide an infrastructure for the mining rigs, such as a premise for the custody of mining rigs, and network and utility to support the operation of the mining rigs. Unlike the general hosting service where the Group includes in its service package to host or operate the customer’s mining rigs under the customer’s instructions so that the mining rigs keep running and remain connected to the customer designated mining pools (the “mining rigs operation service”), under the management services agreement, a customer has the discretion to subscribe to the mining rigs operation service or choose to operate the mining rigs using the customer’s own personnel. The Group charges additional fee, at its stand-alone selling price, for the subscription of the Group’s mining rigs operation service. The management services fee and the mining rigs operation fee, as applicable, are charged to the customer monthly based on the customer’s consumption of resources, such as the amount of electricity used in a period.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promise associated with the membership program agreement is to stand ready to provide services, and the Group’s promise associated with the management services agreement is to provide an infrastructure for the mining rigs through the set of services provided under the management services agreement. The two promises are not separately identifiable because the customer expects to receive mining rigs management services for the mining rigs up to the designated capacity, which is a combined output of the program benefit and management services provided by the Group as a package. The two promises provide a series of distinct services that have the same pattern of transfer to the customer over a period of time. As a result, the promises are treated as a single performance obligation satisfied over time. Revenue associated with the upfront fee for the program benefits is recognized over the program subscription period and revenue associated with the management services is recognized over each distinct service period. The promise to provide the mining rigs operation service, if subscribed to by a customer, is accounted for as a separate performance obligation and the associated revenue is recognized over each distinct service period at their respective stand-alone selling price. The Group accepts both digital asset and fiat currency as payments for the membership hosting arrangements. The contract term approximates the lease term of the mining datacenter and is estimated to be 13 years. The estimated lease term is adjusted when there is an indication that the Group is reasonably certain to renew or terminate the lease.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Cloud Hosting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its customers, through subscription of Cloud Hosting orders, one-stop mining rigs hosting solution which integrates the provision of computing power generated from specified second-hand mining rigs and the provision of maintenance service, primarily including electricity supply and daily maintenance and repair care. The Group charges the customer an upfront fixed amount at the commencement of the Cloud Hosting arrangement for the customer to secure the procurement of the computing power from the specified mining rigs, as well as the variable fees for the provision of maintenance service based on the consumption of resources such as electricity throughout the duration of the service. The Group historically only accepts digital asset as payments for services under the Cloud Hosting arrangement.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Cloud Hosting arrangements are offered under two modes. Under the classic mode, the customer receives all of the mining rewards from the mining pool. Under the accelerator mode, the customer is charged with a lower upfront amount and enjoys a quicker recovery of the costs. In exchange, the Group is entitled to additional consideration once a customer’s cost is recovered.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promises are offered under the Cloud Hosting arrangements. One is to provide the computing power generated from the specified mining rigs and the other is to perform maintenance services over the life of the mining rigs. The two promises are not separately identifiable because the customer expects to receive a steady operation of the mining rigs specified in the Cloud Hosting order, which is a combined output of the provision of computing power from the specified mining rigs and the provision of maintenance service of the specified mining rigs. The two promises provide a series of distinct services, which are substantially the same and have the same pattern of transfer to the customer, over a period of time. As a result, the promises are treated as a single performance obligation satisfied over time.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of the performance obligation includes an upfront fee paid upon placement of the Cloud Hosting order and periodical maintenance fees. The periodical maintenance fee is variable in each maintenance period based on the electricity consumption. The Group allocates the variable consideration to each distinct maintenance service period.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is recognized over time where the fixed upfront fee is recognized evenly over the contract term and the periodical maintenance fee is recognized over each respective service period. The contract term approximates to the life of the specified mining rigs and is estimated to be two years. The estimated life of these mining rigs is reviewed at least at each fiscal year-end and adjusted if the expectation of the realization of economic benefits from the specified mining rigs is different from the previous estimate.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plans under the accelerator mode, besides the aforementioned fees, the transaction price also includes the additional consideration once the customer’s cost is recovered. The additional consideration, which is variable, is determined as a percentage of a customer’s mining profit derived from the computing power of the specified mining rigs and constrained until the mining pool operator finishes the calculation of the mining reward related to the mining activity in a given day. The Group includes such additional consideration in the transaction price and recognizes revenues when the Group can reasonably calculate the amount and determine it is probable a significant reversal will not occur. For all the periods presented, no revenue was generated from the additional consideration from Cloud Hosting arrangements offered under the accelerator mode.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AI cloud services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cloud-based computing, storage, and artificial intelligence services, which allow customers to use hosted software and hardware infrastructure without taking possession of the software or hardware. The Group has a single performance obligation in offering the use of software and hardware as a bundle to the customers as both software and hardware are interdependent in the Group’s service delivery. Revenue is measured based on the transaction price, which represents the amount of consideration the Group expects to be entitled to in exchange for providing services, exclusive of discounts and, where applicable, sales taxes collected on behalf of third parties. Revenue related to subscription-based cloud services is recognized over the subscription contract period. Revenue related to on-demand cloud services based on usage is recognized as usage occurs. The Group accepts both digital asset and fiat currency as payments for these services.</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revenues for each category are as follows:</w:t>
      </w:r>
    </w:p>
    <w:p>
      <w:pPr>
        <w:pStyle w:val="TextBody"/>
        <w:bidi w:val="0"/>
        <w:spacing w:before="0" w:after="0"/>
        <w:ind w:left="720" w:right="0" w:hanging="0"/>
        <w:jc w:val="left"/>
        <w:rPr>
          <w:caps w:val="false"/>
          <w:smallCaps w:val="false"/>
        </w:rPr>
      </w:pPr>
      <w:r>
        <w:rPr>
          <w:caps w:val="false"/>
          <w:smallCaps w:val="false"/>
        </w:rPr>
        <w:t> </w:t>
      </w:r>
    </w:p>
    <w:tbl>
      <w:tblPr>
        <w:tblW w:w="5348" w:type="dxa"/>
        <w:jc w:val="left"/>
        <w:tblInd w:w="0" w:type="dxa"/>
        <w:tblLayout w:type="fixed"/>
        <w:tblCellMar>
          <w:top w:w="0" w:type="dxa"/>
          <w:left w:w="0" w:type="dxa"/>
          <w:bottom w:w="0" w:type="dxa"/>
          <w:right w:w="0" w:type="dxa"/>
        </w:tblCellMar>
      </w:tblPr>
      <w:tblGrid>
        <w:gridCol w:w="3335"/>
        <w:gridCol w:w="60"/>
        <w:gridCol w:w="61"/>
        <w:gridCol w:w="817"/>
        <w:gridCol w:w="61"/>
        <w:gridCol w:w="61"/>
        <w:gridCol w:w="61"/>
        <w:gridCol w:w="817"/>
        <w:gridCol w:w="75"/>
      </w:tblGrid>
      <w:tr>
        <w:trPr/>
        <w:tc>
          <w:tcPr>
            <w:tcW w:w="33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333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335" w:type="dxa"/>
            <w:tcBorders/>
            <w:vAlign w:val="center"/>
          </w:tcPr>
          <w:p>
            <w:pPr>
              <w:pStyle w:val="TableContents"/>
              <w:bidi w:val="0"/>
              <w:spacing w:before="0" w:after="283"/>
              <w:jc w:val="left"/>
              <w:rPr>
                <w:u w:val="single"/>
              </w:rPr>
            </w:pPr>
            <w:r>
              <w:rPr>
                <w:u w:val="single"/>
              </w:rPr>
              <w:t>Net Service Revenues</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Self-mining</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315,226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96,538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Co-mining</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34,002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Cloud hash rate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7,425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General hosting</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8,226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18,960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pPr>
            <w:r>
              <w:rPr/>
              <w:t>Membership hosting</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26,529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30,868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AI cloud services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17,689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2,691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2,943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2,905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u w:val="single"/>
              </w:rPr>
            </w:pPr>
            <w:r>
              <w:rPr>
                <w:u w:val="single"/>
              </w:rPr>
              <w:t>Net Product 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pPr>
            <w:r>
              <w:rPr/>
              <w:t>Sale of mining rigs and accessories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4,087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73,554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Others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1,587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143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3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FFFFFF" w:val="clear"/>
            <w:tcMar>
              <w:bottom w:w="28" w:type="dxa"/>
            </w:tcMar>
            <w:vAlign w:val="center"/>
          </w:tcPr>
          <w:p>
            <w:pPr>
              <w:pStyle w:val="TableContents"/>
              <w:bidi w:val="0"/>
              <w:spacing w:before="0" w:after="283"/>
              <w:jc w:val="right"/>
              <w:rPr/>
            </w:pPr>
            <w:r>
              <w:rPr/>
              <w:t>417,714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FFFFFF" w:val="clear"/>
            <w:tcMar>
              <w:bottom w:w="28" w:type="dxa"/>
            </w:tcMar>
            <w:vAlign w:val="center"/>
          </w:tcPr>
          <w:p>
            <w:pPr>
              <w:pStyle w:val="TableContents"/>
              <w:bidi w:val="0"/>
              <w:spacing w:before="0" w:after="283"/>
              <w:jc w:val="right"/>
              <w:rPr/>
            </w:pPr>
            <w:r>
              <w:rPr/>
              <w:t>225,710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3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 revenues primarily comprise revenue from the provision of technical and human resources services, repair services for hosted mining rigs, the leasing of property, plant and equipment, and cloud hosting arrangements.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 revenues primarily comprise revenue from the sale of mining rig peripherals and containerized solution products.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the revenue recognized on the acceptance of digital assets, which is a non-cash item, as an adjustment to remove the non-cash item for the cash flows from operating activities and the disposals of digital assets received in revenue arrangements are presented as cash flows from investing activities in the consolidated statements of cash flows. The purchases and disposals of digital assets associated with investment are presented as investing activities in the consolidated statements of cash flows.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assets and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contract asset is recognized when the Group recognizes revenue before being unconditionally entitled to the consideration under the payment terms set out in the contract. Contract assets are assessed for expected credit losses and are reclassified to receivables when the right to the consideration has become unconditional. As of June 30, 2026 and December 31, 2025, the Group did not have any contract assets.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contract liability is recognized when the customer pays consideration for goods or services before the Group recognizes the related revenue. A contract liability would also be recognized if the Group has an unconditional right to receive non-refundable consideration before the Group recognizes the related revenue. In such cases, a corresponding receivable would also be recognized. As of June 30, 2026 and December 31, 2025, the Group had contract liabilities, presented as deferred revenue on the consolidated balance sheets, of approximately US$115.2 million and US$127.6 million. Approximately US$16.0 million and US$14.6 million, included in the deferred revenue balance at January 1, 2026 and 2025, respectively, was recognized as revenue during the six months ended June 30, 2026 and 2025. </w:t>
      </w:r>
    </w:p>
    <w:p>
      <w:pPr>
        <w:pStyle w:val="TextBody"/>
        <w:bidi w:val="0"/>
        <w:spacing w:before="0" w:after="0"/>
        <w:ind w:left="720" w:right="0" w:firstLine="36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provided on the basis of net income for financial reporting purposes, adjusted for income and expense items which are not assessable or deductible for income tax purposes, in accordance with the regulations of the relevant tax jurisdictions. The Group follows the asset and liability method of accounting for deferred taxes. Under this method, deferred tax assets and liabilities are determined based on the temporary differences between the carrying amounts in the financial statements and the tax bases of existing assets and liabilities by applying enacted statutory tax rates that will be in effect in the period in which the temporary differences are expected to reverse. The Group records a valuation allowance to reduce the amount of deferred tax assets if based on the weight of available evidence, it is more likely than not that some portion, or all of the deferred tax assets will not be realized. The effect on deferred taxes of a change in tax rates is recognized in the consolidated statements of operations and comprehensive income (loss) in the period of change. Deferred tax assets and liabilities are classified as noncurrent in the consolidated balance sheets.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in its consolidated financial statements the benefit of a tax position if the tax position is more likely than not to prevail based on the facts and technical merits of the position. Tax positions that meet the more-likely-than-not recognition threshold are measured at the largest amount of tax benefit that has a greater than fifty percent likelihood of being realized upon settlement. The Group estimates its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the Group’s estimates. As each audit is concluded, adjustments, if any, are recorded in the Group’s consolidated financial statements in the period in which the audit is concluded.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w:t>
      </w:r>
    </w:p>
    <w:p>
      <w:pPr>
        <w:pStyle w:val="TextBody"/>
        <w:bidi w:val="0"/>
        <w:spacing w:before="0" w:after="0"/>
        <w:ind w:left="720" w:right="0" w:firstLine="360"/>
        <w:jc w:val="both"/>
        <w:rPr>
          <w:caps w:val="false"/>
          <w:smallCaps w:val="false"/>
        </w:rPr>
      </w:pPr>
      <w:r>
        <w:rPr>
          <w:caps w:val="false"/>
          <w:smallCaps w:val="false"/>
        </w:rPr>
        <w:t> </w:t>
      </w:r>
    </w:p>
    <w:tbl>
      <w:tblPr>
        <w:tblW w:w="2073" w:type="dxa"/>
        <w:jc w:val="left"/>
        <w:tblInd w:w="0" w:type="dxa"/>
        <w:tblLayout w:type="fixed"/>
        <w:tblCellMar>
          <w:top w:w="0" w:type="dxa"/>
          <w:left w:w="0" w:type="dxa"/>
          <w:bottom w:w="0" w:type="dxa"/>
          <w:right w:w="0" w:type="dxa"/>
        </w:tblCellMar>
      </w:tblPr>
      <w:tblGrid>
        <w:gridCol w:w="38"/>
        <w:gridCol w:w="15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investments consist of debt security investments, equity security investments, and equity method investments.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320, Investments – Debt Securities, the Group classifies the investments in debt securities as “held-to-maturity”, “trading” or “available-for-sale”, whose classification determines the respective accounting methods stipulated by ASC 320. Dividend and interest income for all categories of investments in securities are included in earnings. Any realized gains or losses, if any, on the sale of the investments are determined on a specific identification method, and such gains and losses are reflected in earnings during the period in which gains or losses are realized. The debt securities that the Group has positive intent and ability to hold to maturity are classified as held-to-maturity securities and stated at amortized cost. The securities that are bought and held principally for the purpose of selling them in the near term are classified as trading securities and measured at fair value. Unrealized holding gains and losses for trading securities are included in earnings. Investments not classified as trading or as held-to-maturity are classified as available-for-sale investments. Available-for-sale investments are reported at fair value, with unrealized gains and losses recorded in accumulated other comprehensive income. Realized gains or losses are included in earnings during the period in which the gain or loss is realized.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losses related to available-for-sale investments to be recorded through an allowance for credit losses. The Group compares the present value of cash flows expected to be collected from the investment with the amortized cost basis of the security to determine if a credit loss exists. If the present value of cash flows expected to be collected is less than the amortized cost basis of the investment, a credit loss exists and an allowance for credit losses is recorded for the credit loss, limited by the amount that the fair value is less than amortized cost basis. An available-for-sale investment is written off in the period the investment is deemed uncollectible. The Group has the ability and intent to hold these investments with unrealized losses for a reasonable period of time sufficient for the recovery of their amortized cost bases.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321, Investments – Equity Securities, for investments in an investee over which the Group does not have significant influence, the Group carries the investments at fair value with unrealized gains and losses included in earnings. For investments that do not have readily determinable fair value, the Group has elected to measure its equity security investments at net asset value (or its equivalent), if it qualifies for the NAV practical expedient under ASC 820, or at cost minus impairment, if any, plus or minus changes resulting from observable price changes in orderly transactions for the identical or a similar investment of the same investee (“measurement alternative”). The Group’s management regularly evaluates the impairment of its equity security investments based on the performance and financial position of the investee as well as other evidence of estimated market values. Such evaluation includes, but is not limited to, reviewing the investee’s cash position, recent financing, projected and historical financial performance, cash flow forecasts and current and future financing needs. An impairment loss is recognized in the consolidated statements of operations and comprehensive income (loss) equal to the excess of the investment’s cost over its fair value at the balance sheets date of the reporting period for which the assessment is made. The fair value would then become the new cost basis of investment.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equity investees represent investments in (a) entities in which the Group can exercise significant influence but does not own a majority equity interest or control and (b) limited partnership in which the Group holds a three percent or greater interest. Such investments are accounted for using the equity method of accounting in accordance with ASC 323, Investments – Equity Method and Joint Ventures. Under the equity method, the Group initially records its investments at cost and prospectively recognizes its proportionate share of each equity investee’s net income or loss into its consolidated statements of operations and comprehensive income (loss). The difference between the cost of the equity investee and the amount of the underlying equity in the net assets of the equity investee is recognized as equity method goodwill included in equity method investments on the consolidated balance sheets. The Group evaluates its equity method investments for impairment under ASC 323. An impairment loss on the equity method investments is recognized in the consolidated statements of operations and comprehensive income (loss) when the decline in value is determined to be other-than-temporary.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Convertible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its convertible senior notes under FASB ASC 470-20, Debt with Conversion and Other Options or FASB ASC 815-40, Derivatives and Hedging—Contracts in Entity’s Own Equity, depending on the specific terms of the debt agreement. The Group records the convertible senior notes as a long-term liability at face value net of debt issuance costs. If any of the conditions to the convertibility of the convertible senior notes are satisfied, or the convertible senior notes become due within one year, then the Group may be required under applicable accounting standards to reclassify the carrying value of the convertible senior notes as a current, rather than a long-term liability.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related to the convertible senior notes were capitalized and recorded as a contra-liability and are presented net against the balance of the convertible senior notes on the Consolidated Balance Sheets. Debt issuance costs consist of underwriting, legal and other direct costs related to the issuance of the convertible senior notes and are amortized to interest expense over the term of the convertible senior notes using the straight-line method which approximated the effective interest method.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derivative is separated from its host contract, the debt host contract is discounted by the initial fair value of the separated embedded derivative and is offset by issuance costs associated with the host contract. The Group accounts for its host contract, whose embedded derivative becomes separated, subsequently at amortized cost, and the discount and issuance costs are amortized to interest expense over the expected term of the host contract using the effective interest method.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Settlements of convertible senior notes are evaluated to determine whether the settlement constitutes a conversion in accordance with the existing terms of the instrument, an induced conversion or an extinguishment. Where notes are converted in accordance with their existing conversion terms, the carrying amount of the notes, net of unamortized debt issuance costs, is reclassified to shareholders’ equity and no gain or loss is recognized. Where the Group changes the conversion privileges of the notes for a limited period of time in order to induce conversion, and the offer preserves the form and amount of the consideration issuable under the conversion terms of the existing instrument, the settlement is accounted for as an induced conversion. For this purpose, the conversion terms of the existing instrument are those in effect as of the date on which the inducement offer is accepted, except that where the conversion terms were changed within the one-year period preceding that date and the change was not accounted for as an extinguishment, the conversion terms that existed one year before that date are used. In an induced conversion no gain or loss is recognized on the notes, and the Group recognizes an inducement expense equal to the fair value of all securities and other consideration transferred in excess of the fair value of the securities and other consideration issuable under the conversion terms of the existing instrument, in each case measured as of the date on which the inducement offer is accepted.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Settlements that do not qualify as a conversion or an induced conversion, including settlements in a form of consideration that is not provided for in the existing conversion terms and exchanges of convertible senior notes for new debt instruments that are determined to be substantially different in accordance with ASC 470-50, Debt—Modifications and Extinguishments, are accounted for as extinguishments. The difference between the fair value of the consideration transferred, including any equity instruments issued measured at fair value, and the net carrying amount of the notes derecognized, including unamortized debt issuance costs, is recognized as a gain or loss on extinguishment. Inducement expense and gains and losses on extinguishment are presented in Other losses, net in the consolidated statements of operations and comprehensive income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Derivative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Separated embedded derivative from convertible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and accounts for derivatives embedded in its convertible instruments in accordance with ASC 815. Accordingly, the Group has assessed if embedded derivatives should be separated from its host contract and accounted for as a derivative instrument based on whether all three ASC 815 criteria are met: (1) the economic characteristics and risks of the embedded derivative are not clearly and closely related to the economic characteristics and risks of the host contract, (2) the hybrid instrument is not remeasured at fair value under GAAP with changes in fair value reported in earnings as they occur, and (3) a separate instrument with the same terms as the embedded derivative would be a derivative instrument. ASC 815 also provides an exception to this rule when the host instrument is deemed to be a conventional convertible debt instrument as defined in the FASB ASC topic. The Group accounts for its separated embedded derivative as a derivative instrument that is carried at fair value and recognizes any gains or losses in net income.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Power-related contracts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entered into contracts for the purchase and sale of electricity as part of its ordinary course of operations. These contracts meet the definition of a derivative instrument under ASC 815 because they reference an underlying electricity price and a notional volume, require little or no initial net investment, and are capable of net settlement, either by their explicit terms or through a market mechanism.</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contracts that the Group enters into and continues to hold for the purpose of taking or making physical delivery of electricity in the normal course of its business, and for which it is probable, throughout the contract term, that delivery will occur, are designated as normal purchases or normal sales and are excluded from the scope of ASC 815. Such contracts are accounted for as executory contracts, with the associated cost recognized in cost of revenue as electricity is delivered and consumed.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normal purchases and normal sales designation is reassessed on an ongoing basis. If a contract that previously qualified for the exception is subsequently used in a manner inconsistent with it, likewise the Group enters into an arrangement to sell forward, or monetize electricity procured under a physical supply contract rather than consume it, which results in a pattern of net cash settlement which leads to the contract no longer meets the criteria for the exception, the contract is then prospectively accounted for as a derivative, measured at fair value, from the date the Group’s use of the contract changed. Once the exception ceases to be met, it is not re-applied to that contract, and the contract continues to be accounted for as a derivative instrument for the remainder of its term.</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that are net settled by design or under their governing master agreement, including contracts referencing a wholesale electricity price index that settle through payment netting rather than physical delivery do not qualify for the normal purchases and normal sales exception at any point during their term and are accounted for as derivatives in their entirety from inception.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instruments are recognized on the balance sheet at fair value, with the resulting asset or liability classified as current or noncurrent based on the timing of expected settlement or realization. The Group has not designated any of its derivative instruments in a hedge accounting relationship.</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gains and losses arising from the settlement of derivative instruments are presented within other expense, net in the consolidated statements of operations and comprehensive income (loss). Unrealized (mark-to-market) gains and losses on outstanding derivative instruments, are presented in fair value change of derivative instruments in the consolidated statements of operations and comprehensive income (loss).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 by the Group that provide for potential adjustments to the exercise price or number of shares in response to, among other events, future equity issuances, result in the Group’s obligation to issue variable number of shares in exchange for a fixed total consideration. These warrants are classified as derivative liabilities under ASC 815 which are measured at fair value at the issuance date and subsequently remeasured at each reporting date, with changes in fair value recognized in net income.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classifies warrants within Level 3 of the fair value hierarchy due to the use of unobservable inputs in the valuation process.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Digital asset-denominated borrowings, receivables and payables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Receivables and payables</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Receivables and payables settled in digital assets represent rights and obligations to receive and deliver a fixed quantity of digital assets rather than a fixed amount of cash, and are not within the scope of ASC 350-60, Intangibles—Goodwill and Other—Crypto Assets, which applies to digital assets held. The receivables and payables are accounted for as hybrid instruments, with asset and liability host contracts that contain an embedded derivative based on the changes in the fair value of the underlying digital assets. The host contracts are not accounted for as debt instruments because they are not financial instruments, which are carried at the fair value of the digital assets at point of acquisition. The embedded derivative is accounted for at fair value, determined using the quoted price of the underlying digital assets within the Group's principal market at the time of measurement. The change in fair value of the underlying digital assets, amounted to US$6.5 million gains and US$3.2 million losses for the six months ended June 30, 2026 and 2025, respectively, are recognized in other operating income (expenses) on the consolidated statements of operations and comprehensive income (loss). Receivable settled in digital assets is further adjusted for expected credit losses. See further discussion regarding expected credit loss from receivables settled in digital assets in Note 2(h).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obtains financing from a related party under facilities pursuant to which the amounts advanced and repayable are denominated in a fixed quantity of digital assets. Digital assets received on drawdown are recognized as digital assets at the fair value of the digital assets received on the drawdown date, and a corresponding borrowing from a related party is recognized at the same amount.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borrowing contains an embedded derivative feature similar to payables settled in digital assets, which is accounted for at fair value, determined using the quoted price of the underlying digital assets within the Group's principal market at the time of measurement, with changes in fair value recognized in change in fair value of digital assets loan in the consolidated statements of operations and comprehensive income (loss).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these facilities is payable in digital assets and is recognized in interest expense over the term of the drawdown, measured at the fair value of the digital assets payable on the date the interest is incurred. On settlement, the borrowing and the digital assets delivered in settlement are derecognized, and any difference between the carrying amount of the borrowing and the carrying amount of the digital assets delivered is recognized in change in fair value of digital assets loan.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Drawdowns and repayments under these facilities are settled in digital assets and do not give rise to cash flows. Accordingly, they are excluded from the consolidated statements of cash flows and are disclosed as non-cash investing and financing activities.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140"/>
        <w:gridCol w:w="9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p>
        </w:tc>
        <w:tc>
          <w:tcPr>
            <w:tcW w:w="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certain financial assets, including investments under the equity method on other-than-temporary basis, investments under the Measurement Alternative, intangible assets, goodwill and fixed assets at fair value when an impairment charge is recognized.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 other inputs that are directly or indirectly observable in the marketplace.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which are supported by little or no market activity.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720" w:right="0" w:firstLine="36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25"/>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t>
            </w:r>
          </w:p>
        </w:tc>
        <w:tc>
          <w:tcPr>
            <w:tcW w:w="4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long-lived assets, other than goodwill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evaluated for impairment whenever events or changes in circumstances (such as a significant adverse change to market conditions that will impact the future use of the assets) indicate that the carrying value of an asset or an asset group may not be fully recoverable or that the useful life is shorter than the Group had originally estimated. When these events occur, the Group evaluates the impairment for the long-lived assets by comparing the carrying value of the asset or the asset group to an estimate of future undiscounted cash flows expected to be generated from the use of the asset or the asset group and its eventual disposition. If the sum of the expected future undiscounted cash flows is less than the carrying value of the asset or the asset group, the Group recognizes an impairment loss based on the excess of the carrying value of the asset or the asset group over its fair value.</w:t>
      </w:r>
    </w:p>
    <w:p>
      <w:pPr>
        <w:pStyle w:val="TextBody"/>
        <w:bidi w:val="0"/>
        <w:spacing w:before="0" w:after="0"/>
        <w:ind w:left="720" w:right="0" w:firstLine="36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records accruals for certain of its outstanding legal proceedings or claims when it is probable that a liability will be incurred and the amount of loss can be reasonably estimated. The Group evaluates, on a quarterly basis, developments in legal proceedings or claims that could affect the amount of any accrual, as well as any developments that would make a loss contingency both probable and reasonably estimable. The Group discloses the amount of the accrual if it is material.</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loss contingency is not both probable and estimable, the Group does not record an accrued liability but discloses the nature and the amount of the claim, if material. However, if the loss (or an additional loss in excess of the accrual) is at least reasonably possible, then the Group discloses an estimate of the loss or range of loss, unless it is immaterial or an estimate cannot be made. The assessment of whether a loss is probable or reasonably possible, and whether the loss or a range of loss is estimable, often involves complex judgments about future events. Management is often unable to estimate the loss or a range of loss, particularly where (i) the damages sought are indeterminate, (ii) the proceedings are in the early stages, or (iii) there is a lack of clear or consistent interpretation of laws specific to the industry-specific complaints among different jurisdictions. In such cases, there is considerable uncertainty regarding the timing or ultimate resolution of such matters, including eventual loss, fine, penalty or business impact, if any.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21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per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income (loss) attributable to ordinary shareholders by the weighted average number of ordinary shares outstanding during the period. For the calculation of diluted earnings (loss) per share, the weighted average number of ordinary shares is adjusted by the effect of dilutive potential ordinary shares, including unvested RSUs and ordinary shares issuable upon the exercise of outstanding share options using the treasury stock method, and dilution impact of convertible senior notes using the if-converted method. Under the if-converted method, the convertible senior notes are assumed to have been converted at the beginning of the period, or at the date of issuance if later, and income (loss) attributable to ordinary shareholders is adjusted to add back the interest expense, the amortization of debt discount and issuance costs and the change in fair value of the separated embedded derivative recognized on those notes, in each case net of tax, with the ordinary shares issuable on conversion included in the weighted average number of ordinary shares. The effect mentioned above is not included in the calculation of the diluted earnings (loss) per share when inclusion of such effect would be anti-dilutive.</w:t>
      </w:r>
    </w:p>
    <w:p>
      <w:pPr>
        <w:pStyle w:val="TextBody"/>
        <w:bidi w:val="0"/>
        <w:spacing w:before="0" w:after="0"/>
        <w:ind w:left="720" w:right="0" w:firstLine="36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20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t>
            </w:r>
          </w:p>
        </w:tc>
        <w:tc>
          <w:tcPr>
            <w:tcW w:w="13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direct costs incurred to generate service and product revenues. Cost of services revenue primarily includes direct production costs of mining operations, including electricity expenses incurred for operating the Group’s mining rigs in its revenue-generating activities, depreciation expense from the mining rigs and datacenters hosting those mining rigs and compensation expenses incurred by mining datacenter personnel. Cost of product revenue primarily includes the costs of mining rigs sold to customers.</w:t>
      </w:r>
    </w:p>
    <w:p>
      <w:pPr>
        <w:pStyle w:val="TextBody"/>
        <w:bidi w:val="0"/>
        <w:spacing w:before="0" w:after="0"/>
        <w:ind w:left="720" w:right="0" w:firstLine="36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4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Selling expenses primarily consist of (i) staff costs, including salaries, wages and other benefits to sales personnel, (ii) promotional expenses, which primarily represent expenses incurred for online and offline marketing activities and other promotional activities to reach more customers, and (iii) share-based compensation expenses related to sales personnel. Adverting expenses included in selling expenses primarily represent online or offline advertising campaigns to promote the sales of the Group’s products and services, which amounted to US$3.2 million and US$0.9 million for the six months ended June 30, 2026 and 2025, respectively. </w:t>
      </w:r>
    </w:p>
    <w:p>
      <w:pPr>
        <w:pStyle w:val="TextBody"/>
        <w:bidi w:val="0"/>
        <w:spacing w:before="0" w:after="0"/>
        <w:ind w:left="720" w:right="0" w:firstLine="36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w:t>
            </w:r>
          </w:p>
        </w:tc>
        <w:tc>
          <w:tcPr>
            <w:tcW w:w="30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primarily consist of (i) staff costs, including salaries, wages and other benefits to research and development personnel, (ii) share-based compensation expenses related to research and development personnel, (iii) one-off incremental development expense, (iv) technical service fee and (v) amortization expenses of intangible assets acquired from the acquisition of FreeChain. Research and development expenses are expensed as incurred. Software development costs are recorded in “Research and development expenses” as incurred as the costs qualifying for capitalization have been insignificant.</w:t>
      </w:r>
    </w:p>
    <w:p>
      <w:pPr>
        <w:pStyle w:val="TextBody"/>
        <w:bidi w:val="0"/>
        <w:spacing w:before="0" w:after="0"/>
        <w:ind w:left="720" w:right="0" w:firstLine="36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5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primarily consist of (i) staff costs, including salaries, wages and other benefits to general and administrative personnel, (ii) consulting service expenses, (iii) share-based compensation expenses related to general and administrative personnel, (iv) insurance expenditure, and (v) travel expenses and office expenses incurred during daily operation.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275"/>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aa.</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is considered to be related to the Group if the party, directly or indirectly through one or more intermediaries, controls, is controlled by, or is under common control with the Group, or has the ability to exercise significant influence over the Group in making financial and operating decisions. Related parties also include the Group’s equity method investees, principal owners, members of key management personnel, and members of their immediate families, as well as entities that are controlled or significantly influenced by, or under common control with, any of the foregoing. Transactions involving related parties cannot be presumed to be carried out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 It is not, however, practical to determine the fair value of amounts due from/to related parties due to their related party nature.</w:t>
      </w:r>
    </w:p>
    <w:p>
      <w:pPr>
        <w:pStyle w:val="TextBody"/>
        <w:bidi w:val="0"/>
        <w:spacing w:before="0" w:after="0"/>
        <w:ind w:left="720" w:right="0" w:firstLine="36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27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w:t>
            </w:r>
          </w:p>
        </w:tc>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 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regularly reviewed by the Group’s CODM to evaluate the operating segment results. Accordingly, the financial statements include segment information which reflects the current composition of the reportable segments in accordance with ASC Topic 280, Segment Reporting.</w:t>
      </w:r>
    </w:p>
    <w:p>
      <w:pPr>
        <w:pStyle w:val="TextBody"/>
        <w:bidi w:val="0"/>
        <w:spacing w:before="0" w:after="0"/>
        <w:ind w:left="720" w:right="0" w:firstLine="36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45"/>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w:t>
            </w:r>
          </w:p>
        </w:tc>
        <w:tc>
          <w:tcPr>
            <w:tcW w:w="30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Recently adopted accounting pronouncements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which establishes new income tax disclosure requirements in addition to modifying and eliminating certain existing requirements. The ASU amends ASC 740-10-50-12 to require public business entities (“PBEs”) to disclose a reconciliation between the amount of reported income tax expense (or benefit) from continuing operations and the amount computed by multiplying the income (or loss) from continuing operations before income taxes by the applicable statutory federal (national) income tax rate of the jurisdiction (country) of domicile. If PBE is not domiciled in the United States, the federal (national) income tax rate in such entity’s jurisdiction (country) of domicile shall normally be used in the rate reconciliation. The amendments prohibit the use of different income tax rates for subsidiaries or segments. Further, PBEs that use an income tax rate in the rate reconciliation that is other than the U.S. income tax rate must disclose the rate used and the basis for using it. The ASU also adds ASC 740-10-50-12A, which requires entities to annually disaggregate the income tax rate reconciliation between the following eight categories by both percentages and reporting currency amounts: (1) State and local income tax, net of federal (national) income tax effect; (2) Foreign tax effects; (3) Effect of changes in tax laws or rates enacted in the current period; (4) Effect of cross-border tax laws; (5) Tax credits; (6) Changes in valuation allowances; (7) Nontaxable or nondeductible items; (8) Changes in unrecognized tax benefits. PBEs must apply the ASU’s guidance to annual periods beginning after December 15, 2024 (2025 for calendar-year-end PBEs). Early adoption is permitted. The new guidance is required to be applied either prospectively or retrospectively. The Group adopted this update with effect from January 1, 2025 on a prospective basis. The adoption did not have a material impact on the consolidated financial statements, and the required disclosures are included in Note 19.</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2024-04, Debt—Debt with Conversion and Other Options (Subtopic 470-20): Induced Conversions of Convertible Debt Instruments (“ASU 2024-04”). The amendments clarify the requirements for determining whether the settlement of a convertible debt instrument, resulting from a change to its conversion features, should be accounted for as an induced conversion rather than as a debt extinguishment, including a requirement to assess whether the inducement offer preserves the form and amount of consideration issuable upon conversion under the terms that existed one year before the date the inducement offer is accepted. The Group adopted ASU 2024-04 with effect from January 1, 2026 on a prospective basis. As of June 30, 2026, the Group had outstanding convertible notes with an aggregate principal amount of US$1.2 billion that may be subject to the amendments. The adoption did not have a material impact on the Group’s consolidated financial statements for the six months ended June 30, 2026. The effect on future periods will depend on the occurrence, nature and terms of any settlement of the Group’s convertible debt instruments through modified conversion terms. The Group’s accounting policy for settlements of convertible senior notes, including induced conversions, is described in Note 2.</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(“ASU 2025-05”), which provides a practical expedient permitting an entity to assume that current conditions as of the balance sheet date will remain unchanged over the remaining life of current accounts receivable and current contract assets arising from transactions accounted for under Topic 606. The Group adopted ASU 2025-05 with effect from January 1, 2026 on a prospective basis and elected to apply the practical expedient in estimating expected credit losses for current accounts receivable and current contract assets. The adoption did not have a material impact on the Group’s consolidated financial statements.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Recently issued accounting pronouncements not yet adopted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The amendments in this update intend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sales, selling, general and administrative expenses, and research and development). ASU 2024-03 is effective for fiscal years beginning after December 15, 2026, and interim periods beginning after December 15, 2027. The Group is currently evaluating the impact from the adoption of this ASU on its consolidated financial statements.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No. 2025-06, Targeted Improvements to the Accounting for Internal-Use Software (“ASU 2025-06”). ASU 2025-06 amends ASC 350-40, Intangibles-Goodwill and Other-Internal Use Software, to reflect that software is not always developed in a linear manner, removing all references to development stages and adding new guidance on how to evaluate whether the probable-to-complete threshold has been met. ASU 2025-06 is required to be adopted for fiscal years commencing after December 15, 2027, with early adoption permitted. ASU 2025-06 allows for a prospective, retrospective, or modified transition approach to adoption, based on the status of the project and whether software costs were capitalized before the date of adoption. The Group anticipates using a prospective transition approach and is evaluating the impact of adopting the standard on its consolidated financial statements.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Accounting for Government Grants Received by Business Entities (“ASU 2025-10”), to improve generally accepted accounting principles by establishing authoritative guidance on the accounting for government grants received by business entities. The amendments establish the accounting for a government grant received by a business entity, including guidance for (1) a grant related to an asset and (2) a grant related to income. The guidance is effective for fiscal years beginning after December 15, 2028, with early adoption permitted, and it can be applied using one of the following approaches: (1) a modified prospective approach; (2) a modified retrospective approach and (3) a retrospective approach to all government grants. The Group is currently in the process of evaluating the disclosure impact of adopting ASU 2025-10.</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(“ASU 2025-11”). The amendments clarify when the interim reporting guidance in Topic 270 applies, compile the interim disclosure requirements into a single list within Topic 270, and add a disclosure principle requiring disclosure of events occurring after the most recent annual reporting period that have a material impact on the entity. For public business entities, ASU 2025-11 is effective for interim reporting periods within annual reporting periods beginning after December 15, 2027, with early adoption permitted. The amendments may be applied either prospectively to interim reporting periods beginning after the date of adoption or retrospectively to any or all prior periods presented. The Group is currently evaluating the impact of adopting ASU 2025-11 on its interim financial statement disclosures.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8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CONCENTRATION AND RISKS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Concentration of customers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net revenues from customers that accounted for 10% or more of the Group’s net revenues for the six months ended June 30, 2026 and 2025: </w:t>
      </w:r>
    </w:p>
    <w:p>
      <w:pPr>
        <w:pStyle w:val="TextBody"/>
        <w:bidi w:val="0"/>
        <w:spacing w:before="0" w:after="0"/>
        <w:ind w:left="360" w:right="0" w:firstLine="360"/>
        <w:jc w:val="left"/>
        <w:rPr>
          <w:caps w:val="false"/>
          <w:smallCaps w:val="false"/>
        </w:rPr>
      </w:pPr>
      <w:r>
        <w:rPr>
          <w:caps w:val="false"/>
          <w:smallCaps w:val="false"/>
        </w:rPr>
        <w:t> </w:t>
      </w:r>
    </w:p>
    <w:tbl>
      <w:tblPr>
        <w:tblW w:w="6717" w:type="dxa"/>
        <w:jc w:val="left"/>
        <w:tblInd w:w="0" w:type="dxa"/>
        <w:tblLayout w:type="fixed"/>
        <w:tblCellMar>
          <w:top w:w="0" w:type="dxa"/>
          <w:left w:w="0" w:type="dxa"/>
          <w:bottom w:w="0" w:type="dxa"/>
          <w:right w:w="0" w:type="dxa"/>
        </w:tblCellMar>
      </w:tblPr>
      <w:tblGrid>
        <w:gridCol w:w="3845"/>
        <w:gridCol w:w="60"/>
        <w:gridCol w:w="102"/>
        <w:gridCol w:w="955"/>
        <w:gridCol w:w="366"/>
        <w:gridCol w:w="102"/>
        <w:gridCol w:w="102"/>
        <w:gridCol w:w="955"/>
        <w:gridCol w:w="230"/>
      </w:tblGrid>
      <w:tr>
        <w:trPr/>
        <w:tc>
          <w:tcPr>
            <w:tcW w:w="384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30" w:type="dxa"/>
            <w:tcBorders/>
            <w:vAlign w:val="center"/>
          </w:tcPr>
          <w:p>
            <w:pPr>
              <w:pStyle w:val="TableContents"/>
              <w:bidi w:val="0"/>
              <w:spacing w:before="0" w:after="283"/>
              <w:ind w:left="0" w:right="0" w:hanging="180"/>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66"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ind w:left="0" w:right="0" w:hanging="180"/>
              <w:jc w:val="left"/>
              <w:rPr/>
            </w:pPr>
            <w:r>
              <w:rPr/>
              <w:t> </w:t>
            </w:r>
          </w:p>
        </w:tc>
      </w:tr>
      <w:tr>
        <w:trPr/>
        <w:tc>
          <w:tcPr>
            <w:tcW w:w="3845" w:type="dxa"/>
            <w:tcBorders/>
            <w:vAlign w:val="center"/>
          </w:tcPr>
          <w:p>
            <w:pPr>
              <w:pStyle w:val="TableContents"/>
              <w:bidi w:val="0"/>
              <w:spacing w:before="0" w:after="283"/>
              <w:jc w:val="left"/>
              <w:rPr>
                <w:b/>
              </w:rPr>
            </w:pPr>
            <w:r>
              <w:rPr>
                <w:b/>
              </w:rPr>
              <w:t>Percentage of revenue contributed by</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center"/>
              <w:rPr/>
            </w:pPr>
            <w:r>
              <w:rPr/>
              <w:t> </w:t>
            </w:r>
          </w:p>
        </w:tc>
        <w:tc>
          <w:tcPr>
            <w:tcW w:w="366"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6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14.52</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3845"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51.61</w:t>
            </w:r>
          </w:p>
        </w:tc>
        <w:tc>
          <w:tcPr>
            <w:tcW w:w="366"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10.44</w:t>
            </w:r>
          </w:p>
        </w:tc>
        <w:tc>
          <w:tcPr>
            <w:tcW w:w="366"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10.81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26" w:right="0" w:hanging="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12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10%</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that potentially subject the Group to significant concentrations of credit risk primarily consist of cash and cash equivalents, restricted cash, accounts receivables, amounts due from related parties, short-term investments, derivative assets, digital assets and digital assets receivable from a related party. The maximum exposure of such assets to credit risk is their carrying amounts as of the balance sheets dates.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426"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deposited in the banks</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majority of the Group’s cash and cash equivalents and restricted cash were held at major financial institutions which the management believes are of high credit quality. There has been no recent history of default in relation to these financial institutions.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426"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receivables</w:t>
      </w:r>
    </w:p>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typically unsecured and are mainly derived from revenues earned from customers. The risk with respect to accounts receivable is mitigated by credit evaluations the Group performs on its customers and its ongoing monitoring processes of outstanding balances. The Group has a receivables management process that facilitates initial and ongoing analysis of customer creditworthiness individually. This analysis comprises payment frequency and timeliness, payment method and payment amount. For customers with relatively short history, the Group limits its exposure to credit risk by collecting deposits from these customers, which will be used to offset against outstanding trade receivables in case of default.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Short-term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short-term investments comprise an investment in a private fund that invests primarily in debt securities. The Group’s exposure to credit risk in respect of these investments arises principally from the potential default of the issuers of the underlying debt securities held by the fund. The Group manages this exposure by monitoring the credit quality and composition of the fund’s underlying portfolio on an ongoing basis.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instruments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derivative assets arise from power-related contracts that are net settled with energy trading counterparties under industry-standard master agreements. The Group is exposed to credit risk to the extent that a counterparty fails to perform under a contract that is in an asset position, and the maximum exposure to credit risk is the carrying amount of the derivative assets as of the balance sheet dates. The Group manages this exposure by transacting only with counterparties whose creditworthiness it has assessed and which management believes are of high credit quality, by monitoring its net exposure to each counterparty on an ongoing basis, and through the payment netting and credit support provisions of the relevant master agreements. As of June 30, 2026, the Group’s derivative assets were concentrated with a small number of counterparties.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assets held in custody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substantially all of the Group’s digital assets are stored in wallets held in the custody of Matrix Finance and Technologies Holding Company (“Matrixport Group”, rebranded as the “BIT Group”), a related party. To limit exposure to credit risk relating to digital assets under custody, the Group evaluates the system security design of the custody service provider and regularly reviews the exposure of digital assets held in custody. The Group has further implemented internal controls to ensure the appropriate access to the digital assets under custody. The Group expects that there is no significant credit risk from non-performance by BIT Group.</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digital assets held in custody, as of June 30, 2026 and December 31, 2025, the Group had digital assets receivable from BIT Group, representing digital assets transferred to BIT Group as collateral in connection with drawdowns under the Group’s borrowing facilities, and other amounts due from related parties. These balances represent contractual claims on BIT Group rather than digital assets held on the Group’s behalf, and together with the digital assets held in custody they constitute a significant concentration of credit risk with a single counterparty. The Group monitors its aggregate exposure to BIT Group on an ongoing basis, taking into account BIT Group’s financial position and its history of settling amounts owed to the Group. The digital assets receivable is measured at fair value with changes in fair value recognized in net income and is accordingly not subject to the expected credit loss model; the Group has not recognized any allowance for expected credit losses against the amounts due from related parties as of June 30, 2026 and December 31, 2025.</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Bitcoin and other blockchain-based digital assets have been, and may in the future be, subject to security breaches, cyberattacks, or other malicious activities. A successful security breach or cyberattack could result in a partial or total loss of the Group’s digital assets and such a loss could have a material adverse effect on the Group’s financial condition and results of operations.</w:t>
      </w:r>
    </w:p>
    <w:p>
      <w:pPr>
        <w:pStyle w:val="TextBody"/>
        <w:bidi w:val="0"/>
        <w:spacing w:before="0" w:after="0"/>
        <w:ind w:left="360" w:right="0" w:firstLine="36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Group’s financial instruments, except for the related party balances and the ones carried at fair value as disclosed in the table below, are reported in the consolidated balance sheets at amortized cost, which approximate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hierarchy for the Group’s assets and liabilities measured and recorded at fair value on a recurring basis 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0"/>
        <w:gridCol w:w="60"/>
        <w:gridCol w:w="3040"/>
        <w:gridCol w:w="60"/>
        <w:gridCol w:w="71"/>
        <w:gridCol w:w="817"/>
        <w:gridCol w:w="60"/>
        <w:gridCol w:w="60"/>
        <w:gridCol w:w="60"/>
        <w:gridCol w:w="686"/>
        <w:gridCol w:w="60"/>
        <w:gridCol w:w="60"/>
        <w:gridCol w:w="60"/>
        <w:gridCol w:w="686"/>
        <w:gridCol w:w="60"/>
        <w:gridCol w:w="60"/>
        <w:gridCol w:w="60"/>
        <w:gridCol w:w="686"/>
        <w:gridCol w:w="79"/>
      </w:tblGrid>
      <w:tr>
        <w:trPr/>
        <w:tc>
          <w:tcPr>
            <w:tcW w:w="34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40" w:type="dxa"/>
            <w:tcBorders/>
            <w:vAlign w:val="center"/>
          </w:tcPr>
          <w:p>
            <w:pPr>
              <w:pStyle w:val="TableContents"/>
              <w:bidi w:val="0"/>
              <w:spacing w:before="0" w:after="283"/>
              <w:jc w:val="center"/>
              <w:rPr>
                <w:b/>
              </w:rPr>
            </w:pPr>
            <w:r>
              <w:rPr>
                <w:b/>
              </w:rPr>
              <w:t>Valuation</w:t>
              <w:br/>
              <w:t>technique(s)</w:t>
            </w:r>
          </w:p>
        </w:tc>
        <w:tc>
          <w:tcPr>
            <w:tcW w:w="60" w:type="dxa"/>
            <w:tcBorders/>
            <w:vAlign w:val="center"/>
          </w:tcPr>
          <w:p>
            <w:pPr>
              <w:pStyle w:val="TableContents"/>
              <w:bidi w:val="0"/>
              <w:spacing w:before="0" w:after="283"/>
              <w:jc w:val="left"/>
              <w:rPr/>
            </w:pPr>
            <w:r>
              <w:rPr/>
              <w:t> </w:t>
            </w:r>
          </w:p>
        </w:tc>
        <w:tc>
          <w:tcPr>
            <w:tcW w:w="348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79" w:type="dxa"/>
            <w:tcBorders/>
            <w:vAlign w:val="center"/>
          </w:tcPr>
          <w:p>
            <w:pPr>
              <w:pStyle w:val="TableContents"/>
              <w:bidi w:val="0"/>
              <w:spacing w:before="0" w:after="283"/>
              <w:jc w:val="left"/>
              <w:rPr/>
            </w:pPr>
            <w:r>
              <w:rPr/>
              <w:t> </w:t>
            </w:r>
          </w:p>
        </w:tc>
      </w:tr>
      <w:tr>
        <w:trPr/>
        <w:tc>
          <w:tcPr>
            <w:tcW w:w="348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3040" w:type="dxa"/>
            <w:tcBorders>
              <w:bottom w:val="single" w:sz="12" w:space="0" w:color="000000"/>
            </w:tcBorders>
            <w:tcMar>
              <w:bottom w:w="28" w:type="dxa"/>
            </w:tcMar>
            <w:vAlign w:val="center"/>
          </w:tcPr>
          <w:p>
            <w:pPr>
              <w:pStyle w:val="TableContents"/>
              <w:bidi w:val="0"/>
              <w:spacing w:before="0" w:after="283"/>
              <w:jc w:val="center"/>
              <w:rPr>
                <w:b/>
              </w:rPr>
            </w:pPr>
            <w:r>
              <w:rPr>
                <w:b/>
              </w:rPr>
              <w:t>and key input</w:t>
            </w:r>
          </w:p>
        </w:tc>
        <w:tc>
          <w:tcPr>
            <w:tcW w:w="60" w:type="dxa"/>
            <w:tcBorders/>
            <w:vAlign w:val="center"/>
          </w:tcPr>
          <w:p>
            <w:pPr>
              <w:pStyle w:val="TableContents"/>
              <w:bidi w:val="0"/>
              <w:spacing w:before="0" w:after="283"/>
              <w:jc w:val="left"/>
              <w:rPr/>
            </w:pPr>
            <w:r>
              <w:rPr/>
              <w:t> </w:t>
            </w:r>
          </w:p>
        </w:tc>
        <w:tc>
          <w:tcPr>
            <w:tcW w:w="8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9" w:type="dxa"/>
            <w:tcBorders/>
            <w:vAlign w:val="center"/>
          </w:tcPr>
          <w:p>
            <w:pPr>
              <w:pStyle w:val="TableContents"/>
              <w:bidi w:val="0"/>
              <w:spacing w:before="0" w:after="283"/>
              <w:ind w:left="0" w:right="0" w:hanging="180"/>
              <w:jc w:val="left"/>
              <w:rPr/>
            </w:pPr>
            <w:r>
              <w:rPr/>
              <w:t> </w:t>
            </w:r>
          </w:p>
        </w:tc>
      </w:tr>
      <w:tr>
        <w:trPr/>
        <w:tc>
          <w:tcPr>
            <w:tcW w:w="3480" w:type="dxa"/>
            <w:tcBorders/>
            <w:shd w:fill="CCEEFF" w:val="clear"/>
            <w:vAlign w:val="center"/>
          </w:tcPr>
          <w:p>
            <w:pPr>
              <w:pStyle w:val="TableContents"/>
              <w:bidi w:val="0"/>
              <w:spacing w:before="0" w:after="283"/>
              <w:jc w:val="left"/>
              <w:rPr/>
            </w:pPr>
            <w:r>
              <w:rPr/>
              <w:t>Digital assets</w:t>
            </w:r>
          </w:p>
        </w:tc>
        <w:tc>
          <w:tcPr>
            <w:tcW w:w="60" w:type="dxa"/>
            <w:tcBorders/>
            <w:shd w:fill="CCEEFF" w:val="clear"/>
            <w:vAlign w:val="center"/>
          </w:tcPr>
          <w:p>
            <w:pPr>
              <w:pStyle w:val="TableContents"/>
              <w:bidi w:val="0"/>
              <w:spacing w:before="0" w:after="283"/>
              <w:jc w:val="left"/>
              <w:rPr/>
            </w:pPr>
            <w:r>
              <w:rPr/>
              <w:t> </w:t>
            </w:r>
          </w:p>
        </w:tc>
        <w:tc>
          <w:tcPr>
            <w:tcW w:w="3040" w:type="dxa"/>
            <w:tcBorders/>
            <w:shd w:fill="CCEEFF" w:val="clear"/>
            <w:vAlign w:val="center"/>
          </w:tcPr>
          <w:p>
            <w:pPr>
              <w:pStyle w:val="TableContents"/>
              <w:bidi w:val="0"/>
              <w:spacing w:before="0" w:after="283"/>
              <w:jc w:val="center"/>
              <w:rPr/>
            </w:pPr>
            <w:r>
              <w:rPr/>
              <w:t>Quoted price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34,762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b/>
              </w:rPr>
            </w:pPr>
            <w:r>
              <w:rPr>
                <w:b/>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3480" w:type="dxa"/>
            <w:tcBorders/>
            <w:shd w:fill="FFFFFF" w:val="clear"/>
            <w:vAlign w:val="center"/>
          </w:tcPr>
          <w:p>
            <w:pPr>
              <w:pStyle w:val="TableContents"/>
              <w:bidi w:val="0"/>
              <w:spacing w:before="0" w:after="283"/>
              <w:jc w:val="left"/>
              <w:rPr/>
            </w:pPr>
            <w:r>
              <w:rPr/>
              <w:t>Embedded derivative liability - Digital assets - receivables</w:t>
            </w:r>
          </w:p>
        </w:tc>
        <w:tc>
          <w:tcPr>
            <w:tcW w:w="60" w:type="dxa"/>
            <w:tcBorders/>
            <w:shd w:fill="FFFFFF" w:val="clear"/>
            <w:vAlign w:val="center"/>
          </w:tcPr>
          <w:p>
            <w:pPr>
              <w:pStyle w:val="TableContents"/>
              <w:bidi w:val="0"/>
              <w:spacing w:before="0" w:after="283"/>
              <w:jc w:val="left"/>
              <w:rPr/>
            </w:pPr>
            <w:r>
              <w:rPr/>
              <w:t> </w:t>
            </w:r>
          </w:p>
        </w:tc>
        <w:tc>
          <w:tcPr>
            <w:tcW w:w="3040" w:type="dxa"/>
            <w:tcBorders/>
            <w:shd w:fill="FFFFFF" w:val="clear"/>
            <w:vAlign w:val="center"/>
          </w:tcPr>
          <w:p>
            <w:pPr>
              <w:pStyle w:val="TableContents"/>
              <w:bidi w:val="0"/>
              <w:spacing w:before="0" w:after="283"/>
              <w:jc w:val="center"/>
              <w:rPr/>
            </w:pPr>
            <w:r>
              <w:rPr/>
              <w:t>Quoted price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b/>
              </w:rPr>
            </w:pPr>
            <w:r>
              <w:rPr>
                <w:b/>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3480"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3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3480" w:type="dxa"/>
            <w:tcBorders/>
            <w:shd w:fill="FFFFFF" w:val="clear"/>
            <w:vAlign w:val="center"/>
          </w:tcPr>
          <w:p>
            <w:pPr>
              <w:pStyle w:val="TableContents"/>
              <w:bidi w:val="0"/>
              <w:spacing w:before="0" w:after="283"/>
              <w:jc w:val="left"/>
              <w:rPr/>
            </w:pPr>
            <w:r>
              <w:rPr/>
              <w:t>Investment H in available-for-sale debt instrument</w:t>
            </w:r>
          </w:p>
        </w:tc>
        <w:tc>
          <w:tcPr>
            <w:tcW w:w="60" w:type="dxa"/>
            <w:tcBorders/>
            <w:shd w:fill="FFFFFF" w:val="clear"/>
            <w:vAlign w:val="center"/>
          </w:tcPr>
          <w:p>
            <w:pPr>
              <w:pStyle w:val="TableContents"/>
              <w:bidi w:val="0"/>
              <w:spacing w:before="0" w:after="283"/>
              <w:jc w:val="left"/>
              <w:rPr/>
            </w:pPr>
            <w:r>
              <w:rPr/>
              <w:t> </w:t>
            </w:r>
          </w:p>
        </w:tc>
        <w:tc>
          <w:tcPr>
            <w:tcW w:w="3040" w:type="dxa"/>
            <w:tcBorders/>
            <w:shd w:fill="FFFFFF" w:val="clear"/>
            <w:vAlign w:val="center"/>
          </w:tcPr>
          <w:p>
            <w:pPr>
              <w:pStyle w:val="TableContents"/>
              <w:bidi w:val="0"/>
              <w:spacing w:before="0" w:after="283"/>
              <w:jc w:val="center"/>
              <w:rPr/>
            </w:pPr>
            <w:r>
              <w:rPr/>
              <w:t>Liquidation value method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1,996</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3480" w:type="dxa"/>
            <w:tcBorders/>
            <w:shd w:fill="CCEEFF" w:val="clear"/>
            <w:vAlign w:val="center"/>
          </w:tcPr>
          <w:p>
            <w:pPr>
              <w:pStyle w:val="TableContents"/>
              <w:bidi w:val="0"/>
              <w:spacing w:before="0" w:after="283"/>
              <w:jc w:val="left"/>
              <w:rPr/>
            </w:pPr>
            <w:r>
              <w:rPr/>
              <w:t>Investment J and L in listed equity instrument</w:t>
            </w:r>
          </w:p>
        </w:tc>
        <w:tc>
          <w:tcPr>
            <w:tcW w:w="60" w:type="dxa"/>
            <w:tcBorders/>
            <w:shd w:fill="CCEEFF" w:val="clear"/>
            <w:vAlign w:val="center"/>
          </w:tcPr>
          <w:p>
            <w:pPr>
              <w:pStyle w:val="TableContents"/>
              <w:bidi w:val="0"/>
              <w:spacing w:before="0" w:after="283"/>
              <w:jc w:val="left"/>
              <w:rPr/>
            </w:pPr>
            <w:r>
              <w:rPr/>
              <w:t> </w:t>
            </w:r>
          </w:p>
        </w:tc>
        <w:tc>
          <w:tcPr>
            <w:tcW w:w="3040" w:type="dxa"/>
            <w:tcBorders/>
            <w:shd w:fill="CCEEFF" w:val="clear"/>
            <w:vAlign w:val="center"/>
          </w:tcPr>
          <w:p>
            <w:pPr>
              <w:pStyle w:val="TableContents"/>
              <w:bidi w:val="0"/>
              <w:spacing w:before="0" w:after="283"/>
              <w:jc w:val="center"/>
              <w:rPr/>
            </w:pPr>
            <w:r>
              <w:rPr/>
              <w:t>Quoted price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b/>
              </w:rPr>
            </w:pPr>
            <w:r>
              <w:rPr>
                <w:b/>
              </w:rPr>
              <w:t>-</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3480" w:type="dxa"/>
            <w:tcBorders/>
            <w:shd w:fill="FFFFFF" w:val="clear"/>
            <w:vAlign w:val="center"/>
          </w:tcPr>
          <w:p>
            <w:pPr>
              <w:pStyle w:val="TableContents"/>
              <w:bidi w:val="0"/>
              <w:spacing w:before="0" w:after="283"/>
              <w:jc w:val="left"/>
              <w:rPr/>
            </w:pPr>
            <w:r>
              <w:rPr/>
              <w:t>Embedded derivative asset - Digital asset-settled payables</w:t>
            </w:r>
          </w:p>
        </w:tc>
        <w:tc>
          <w:tcPr>
            <w:tcW w:w="60" w:type="dxa"/>
            <w:tcBorders/>
            <w:shd w:fill="FFFFFF" w:val="clear"/>
            <w:vAlign w:val="center"/>
          </w:tcPr>
          <w:p>
            <w:pPr>
              <w:pStyle w:val="TableContents"/>
              <w:bidi w:val="0"/>
              <w:spacing w:before="0" w:after="283"/>
              <w:jc w:val="left"/>
              <w:rPr/>
            </w:pPr>
            <w:r>
              <w:rPr/>
              <w:t> </w:t>
            </w:r>
          </w:p>
        </w:tc>
        <w:tc>
          <w:tcPr>
            <w:tcW w:w="3040" w:type="dxa"/>
            <w:tcBorders/>
            <w:shd w:fill="FFFFFF" w:val="clear"/>
            <w:vAlign w:val="center"/>
          </w:tcPr>
          <w:p>
            <w:pPr>
              <w:pStyle w:val="TableContents"/>
              <w:bidi w:val="0"/>
              <w:spacing w:before="0" w:after="283"/>
              <w:jc w:val="center"/>
              <w:rPr/>
            </w:pPr>
            <w:r>
              <w:rPr/>
              <w:t>Quoted price</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7,841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7,841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b/>
              </w:rPr>
            </w:pPr>
            <w:r>
              <w:rPr>
                <w:b/>
              </w:rPr>
              <w:t>-</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3480" w:type="dxa"/>
            <w:tcBorders/>
            <w:shd w:fill="CCEEFF" w:val="clear"/>
            <w:vAlign w:val="center"/>
          </w:tcPr>
          <w:p>
            <w:pPr>
              <w:pStyle w:val="TableContents"/>
              <w:bidi w:val="0"/>
              <w:spacing w:before="0" w:after="283"/>
              <w:jc w:val="left"/>
              <w:rPr/>
            </w:pPr>
            <w:r>
              <w:rPr/>
              <w:t>Derivative assets</w:t>
            </w:r>
          </w:p>
        </w:tc>
        <w:tc>
          <w:tcPr>
            <w:tcW w:w="60" w:type="dxa"/>
            <w:tcBorders/>
            <w:shd w:fill="CCEEFF" w:val="clear"/>
            <w:vAlign w:val="center"/>
          </w:tcPr>
          <w:p>
            <w:pPr>
              <w:pStyle w:val="TableContents"/>
              <w:bidi w:val="0"/>
              <w:spacing w:before="0" w:after="283"/>
              <w:jc w:val="left"/>
              <w:rPr/>
            </w:pPr>
            <w:r>
              <w:rPr/>
              <w:t> </w:t>
            </w:r>
          </w:p>
        </w:tc>
        <w:tc>
          <w:tcPr>
            <w:tcW w:w="3040" w:type="dxa"/>
            <w:tcBorders/>
            <w:shd w:fill="CCEEFF" w:val="clear"/>
            <w:vAlign w:val="center"/>
          </w:tcPr>
          <w:p>
            <w:pPr>
              <w:pStyle w:val="TableContents"/>
              <w:bidi w:val="0"/>
              <w:spacing w:before="0" w:after="283"/>
              <w:jc w:val="center"/>
              <w:rPr/>
            </w:pPr>
            <w:r>
              <w:rPr/>
              <w:t>Discounted cash flows; forward NO3 electricity prices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19,517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19,517</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3480" w:type="dxa"/>
            <w:tcBorders/>
            <w:shd w:fill="FFFFFF" w:val="clear"/>
            <w:vAlign w:val="center"/>
          </w:tcPr>
          <w:p>
            <w:pPr>
              <w:pStyle w:val="TableContents"/>
              <w:bidi w:val="0"/>
              <w:spacing w:before="0" w:after="283"/>
              <w:jc w:val="left"/>
              <w:rPr/>
            </w:pPr>
            <w:r>
              <w:rPr/>
              <w:t>Derivative liabilities</w:t>
            </w:r>
          </w:p>
        </w:tc>
        <w:tc>
          <w:tcPr>
            <w:tcW w:w="60" w:type="dxa"/>
            <w:tcBorders/>
            <w:shd w:fill="FFFFFF" w:val="clear"/>
            <w:vAlign w:val="center"/>
          </w:tcPr>
          <w:p>
            <w:pPr>
              <w:pStyle w:val="TableContents"/>
              <w:bidi w:val="0"/>
              <w:spacing w:before="0" w:after="283"/>
              <w:jc w:val="left"/>
              <w:rPr/>
            </w:pPr>
            <w:r>
              <w:rPr/>
              <w:t> </w:t>
            </w:r>
          </w:p>
        </w:tc>
        <w:tc>
          <w:tcPr>
            <w:tcW w:w="3040" w:type="dxa"/>
            <w:tcBorders/>
            <w:shd w:fill="FFFFFF" w:val="clear"/>
            <w:vAlign w:val="center"/>
          </w:tcPr>
          <w:p>
            <w:pPr>
              <w:pStyle w:val="TableContents"/>
              <w:bidi w:val="0"/>
              <w:spacing w:before="0" w:after="283"/>
              <w:jc w:val="center"/>
              <w:rPr/>
            </w:pPr>
            <w:r>
              <w:rPr/>
              <w:t>Discounted cash flows; forward NO3 electricity prices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6,529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pPr>
            <w:r>
              <w:rPr/>
              <w:t>6,529</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3480" w:type="dxa"/>
            <w:tcBorders/>
            <w:shd w:fill="CCEEFF" w:val="clear"/>
            <w:vAlign w:val="center"/>
          </w:tcPr>
          <w:p>
            <w:pPr>
              <w:pStyle w:val="TableContents"/>
              <w:bidi w:val="0"/>
              <w:spacing w:before="0" w:after="283"/>
              <w:jc w:val="left"/>
              <w:rPr/>
            </w:pPr>
            <w:r>
              <w:rPr/>
              <w:t>Embedded derivative liability - Digital assets loan</w:t>
            </w:r>
          </w:p>
        </w:tc>
        <w:tc>
          <w:tcPr>
            <w:tcW w:w="60" w:type="dxa"/>
            <w:tcBorders/>
            <w:shd w:fill="CCEEFF" w:val="clear"/>
            <w:vAlign w:val="center"/>
          </w:tcPr>
          <w:p>
            <w:pPr>
              <w:pStyle w:val="TableContents"/>
              <w:bidi w:val="0"/>
              <w:spacing w:before="0" w:after="283"/>
              <w:jc w:val="left"/>
              <w:rPr/>
            </w:pPr>
            <w:r>
              <w:rPr/>
              <w:t> </w:t>
            </w:r>
          </w:p>
        </w:tc>
        <w:tc>
          <w:tcPr>
            <w:tcW w:w="3040" w:type="dxa"/>
            <w:tcBorders/>
            <w:shd w:fill="CCEEFF" w:val="clear"/>
            <w:vAlign w:val="center"/>
          </w:tcPr>
          <w:p>
            <w:pPr>
              <w:pStyle w:val="TableContents"/>
              <w:bidi w:val="0"/>
              <w:spacing w:before="0" w:after="283"/>
              <w:jc w:val="center"/>
              <w:rPr/>
            </w:pPr>
            <w:r>
              <w:rPr/>
              <w:t>Quoted price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27,104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27,104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b/>
              </w:rPr>
            </w:pPr>
            <w:r>
              <w:rPr>
                <w:b/>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88"/>
        <w:gridCol w:w="60"/>
        <w:gridCol w:w="1970"/>
        <w:gridCol w:w="60"/>
        <w:gridCol w:w="78"/>
        <w:gridCol w:w="893"/>
        <w:gridCol w:w="60"/>
        <w:gridCol w:w="60"/>
        <w:gridCol w:w="60"/>
        <w:gridCol w:w="689"/>
        <w:gridCol w:w="60"/>
        <w:gridCol w:w="60"/>
        <w:gridCol w:w="60"/>
        <w:gridCol w:w="689"/>
        <w:gridCol w:w="60"/>
        <w:gridCol w:w="60"/>
        <w:gridCol w:w="69"/>
        <w:gridCol w:w="649"/>
        <w:gridCol w:w="80"/>
      </w:tblGrid>
      <w:tr>
        <w:trPr/>
        <w:tc>
          <w:tcPr>
            <w:tcW w:w="44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rPr>
            </w:pPr>
            <w:r>
              <w:rPr>
                <w:b/>
              </w:rPr>
              <w:t>Valuation</w:t>
              <w:br/>
              <w:t>technique(s)</w:t>
            </w:r>
          </w:p>
        </w:tc>
        <w:tc>
          <w:tcPr>
            <w:tcW w:w="60" w:type="dxa"/>
            <w:tcBorders/>
            <w:vAlign w:val="center"/>
          </w:tcPr>
          <w:p>
            <w:pPr>
              <w:pStyle w:val="TableContents"/>
              <w:bidi w:val="0"/>
              <w:spacing w:before="0" w:after="283"/>
              <w:jc w:val="left"/>
              <w:rPr/>
            </w:pPr>
            <w:r>
              <w:rPr/>
              <w:t> </w:t>
            </w:r>
          </w:p>
        </w:tc>
        <w:tc>
          <w:tcPr>
            <w:tcW w:w="354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80" w:type="dxa"/>
            <w:tcBorders/>
            <w:vAlign w:val="center"/>
          </w:tcPr>
          <w:p>
            <w:pPr>
              <w:pStyle w:val="TableContents"/>
              <w:bidi w:val="0"/>
              <w:spacing w:before="0" w:after="283"/>
              <w:ind w:left="0" w:right="0" w:hanging="180"/>
              <w:jc w:val="left"/>
              <w:rPr/>
            </w:pPr>
            <w:r>
              <w:rPr/>
              <w:t> </w:t>
            </w:r>
          </w:p>
        </w:tc>
      </w:tr>
      <w:tr>
        <w:trPr/>
        <w:tc>
          <w:tcPr>
            <w:tcW w:w="4488"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970" w:type="dxa"/>
            <w:tcBorders>
              <w:bottom w:val="single" w:sz="12" w:space="0" w:color="000000"/>
            </w:tcBorders>
            <w:tcMar>
              <w:bottom w:w="28" w:type="dxa"/>
            </w:tcMar>
            <w:vAlign w:val="center"/>
          </w:tcPr>
          <w:p>
            <w:pPr>
              <w:pStyle w:val="TableContents"/>
              <w:bidi w:val="0"/>
              <w:spacing w:before="0" w:after="283"/>
              <w:jc w:val="center"/>
              <w:rPr>
                <w:b/>
              </w:rPr>
            </w:pPr>
            <w:r>
              <w:rPr>
                <w:b/>
              </w:rPr>
              <w:t>and key input</w:t>
            </w:r>
          </w:p>
        </w:tc>
        <w:tc>
          <w:tcPr>
            <w:tcW w:w="60" w:type="dxa"/>
            <w:tcBorders/>
            <w:vAlign w:val="center"/>
          </w:tcPr>
          <w:p>
            <w:pPr>
              <w:pStyle w:val="TableContents"/>
              <w:bidi w:val="0"/>
              <w:spacing w:before="0" w:after="283"/>
              <w:jc w:val="left"/>
              <w:rPr/>
            </w:pPr>
            <w:r>
              <w:rPr/>
              <w:t> </w:t>
            </w:r>
          </w:p>
        </w:tc>
        <w:tc>
          <w:tcPr>
            <w:tcW w:w="9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80" w:type="dxa"/>
            <w:tcBorders/>
            <w:vAlign w:val="center"/>
          </w:tcPr>
          <w:p>
            <w:pPr>
              <w:pStyle w:val="TableContents"/>
              <w:bidi w:val="0"/>
              <w:spacing w:before="0" w:after="283"/>
              <w:ind w:left="0" w:right="0" w:hanging="180"/>
              <w:jc w:val="left"/>
              <w:rPr/>
            </w:pPr>
            <w:r>
              <w:rPr/>
              <w:t> </w:t>
            </w:r>
          </w:p>
        </w:tc>
      </w:tr>
      <w:tr>
        <w:trPr/>
        <w:tc>
          <w:tcPr>
            <w:tcW w:w="4488" w:type="dxa"/>
            <w:tcBorders/>
            <w:shd w:fill="CCEEFF" w:val="clear"/>
            <w:vAlign w:val="center"/>
          </w:tcPr>
          <w:p>
            <w:pPr>
              <w:pStyle w:val="TableContents"/>
              <w:bidi w:val="0"/>
              <w:spacing w:before="0" w:after="283"/>
              <w:jc w:val="left"/>
              <w:rPr/>
            </w:pPr>
            <w:r>
              <w:rPr/>
              <w:t>Digital assets</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center"/>
              <w:rPr/>
            </w:pPr>
            <w:r>
              <w:rPr/>
              <w:t>Quoted price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85,488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85,488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b/>
              </w:rPr>
            </w:pPr>
            <w:r>
              <w:rPr>
                <w:b/>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488" w:type="dxa"/>
            <w:tcBorders/>
            <w:shd w:fill="FFFFFF" w:val="clear"/>
            <w:vAlign w:val="center"/>
          </w:tcPr>
          <w:p>
            <w:pPr>
              <w:pStyle w:val="TableContents"/>
              <w:bidi w:val="0"/>
              <w:spacing w:before="0" w:after="283"/>
              <w:jc w:val="left"/>
              <w:rPr/>
            </w:pPr>
            <w:r>
              <w:rPr/>
              <w:t>Embedded derivative liability - Digital assets - receivables</w:t>
            </w:r>
          </w:p>
        </w:tc>
        <w:tc>
          <w:tcPr>
            <w:tcW w:w="60"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center"/>
              <w:rPr/>
            </w:pPr>
            <w:r>
              <w:rPr/>
              <w:t>Quoted price</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31,039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31,039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b/>
              </w:rPr>
            </w:pPr>
            <w:r>
              <w:rPr>
                <w:b/>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488"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488" w:type="dxa"/>
            <w:tcBorders/>
            <w:shd w:fill="FFFFFF" w:val="clear"/>
            <w:vAlign w:val="center"/>
          </w:tcPr>
          <w:p>
            <w:pPr>
              <w:pStyle w:val="TableContents"/>
              <w:bidi w:val="0"/>
              <w:spacing w:before="0" w:after="283"/>
              <w:jc w:val="left"/>
              <w:rPr/>
            </w:pPr>
            <w:r>
              <w:rPr/>
              <w:t>Investment H in available-for-sale debt instrument</w:t>
            </w:r>
          </w:p>
        </w:tc>
        <w:tc>
          <w:tcPr>
            <w:tcW w:w="60"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center"/>
              <w:rPr/>
            </w:pPr>
            <w:r>
              <w:rPr/>
              <w:t>Recent transaction price</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3,000</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488" w:type="dxa"/>
            <w:tcBorders/>
            <w:shd w:fill="CCEEFF" w:val="clear"/>
            <w:vAlign w:val="center"/>
          </w:tcPr>
          <w:p>
            <w:pPr>
              <w:pStyle w:val="TableContents"/>
              <w:bidi w:val="0"/>
              <w:spacing w:before="0" w:after="283"/>
              <w:jc w:val="left"/>
              <w:rPr/>
            </w:pPr>
            <w:r>
              <w:rPr/>
              <w:t>Investment J and L in listed equity instrument</w:t>
            </w:r>
          </w:p>
        </w:tc>
        <w:tc>
          <w:tcPr>
            <w:tcW w:w="6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center"/>
              <w:rPr/>
            </w:pPr>
            <w:r>
              <w:rPr/>
              <w:t>Quoted price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b/>
              </w:rPr>
            </w:pPr>
            <w:r>
              <w:rPr>
                <w:b/>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488" w:type="dxa"/>
            <w:tcBorders/>
            <w:shd w:fill="FFFFFF" w:val="clear"/>
            <w:vAlign w:val="center"/>
          </w:tcPr>
          <w:p>
            <w:pPr>
              <w:pStyle w:val="TableContents"/>
              <w:bidi w:val="0"/>
              <w:spacing w:before="0" w:after="283"/>
              <w:jc w:val="left"/>
              <w:rPr/>
            </w:pPr>
            <w:r>
              <w:rPr/>
              <w:t>Embedded derivative asset - Digital asset-settled payables</w:t>
            </w:r>
          </w:p>
        </w:tc>
        <w:tc>
          <w:tcPr>
            <w:tcW w:w="60"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283"/>
              <w:jc w:val="center"/>
              <w:rPr/>
            </w:pPr>
            <w:r>
              <w:rPr/>
              <w:t>Quoted price</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b/>
              </w:rPr>
            </w:pPr>
            <w:r>
              <w:rPr>
                <w:b/>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values its investments that do not have a readily determinable fair value and have attributes of an investment using net asset value as a practical expedient. As such, Investment G in available-for-sale debt instrument with a fair value of US$0.2 million and US$1.1 million as of June 30, 2026 and December 31, 2025, is excluded from the fair value hierarchy. Investment B and Investment I in unlisted equity instruments with fair values of US$0.8 million and US$2.4 million as of June 30, 2026, and US$0.8 million and US$2.4 million as of December 31, 2025, are excluded from the fair value hierarchy.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 an available-for-sale debt instrument classified within Level 3 of the fair value hierarchy, was measured as of December 31, 2025 by reference to the price of a recent transaction in the instrument. As that transaction was no longer sufficiently recent to be representative of fair value, the Group changed the valuation technique during the six months ended June 30, 2026 and measured the instrument using a liquidation value method under the cost approach. The significant unobservable input is the estimated realizable value of the issuer’s net assets available to noteholders, which reflects information obtained during the period about the issuer’s financial condition. The change in valuation technique reflects new information about the issuer and is applied prospectively.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assets and derivative liabilities classified within Level 3 of the fair value hierarchy as of June 30, 2026 comprise the Group’s power-related contracts referencing Central Norway (NO3) electricity prices. Refer to Note 14 for a description of these contracts, their classification in the consolidated balance sheets and the significant inputs used in their valuation.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level 3 financial instruments for the six months ended June 30, 2026 and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16"/>
        <w:gridCol w:w="60"/>
        <w:gridCol w:w="287"/>
        <w:gridCol w:w="3055"/>
        <w:gridCol w:w="95"/>
        <w:gridCol w:w="60"/>
        <w:gridCol w:w="113"/>
        <w:gridCol w:w="1306"/>
        <w:gridCol w:w="60"/>
        <w:gridCol w:w="60"/>
        <w:gridCol w:w="101"/>
        <w:gridCol w:w="1494"/>
        <w:gridCol w:w="98"/>
      </w:tblGrid>
      <w:tr>
        <w:trPr/>
        <w:tc>
          <w:tcPr>
            <w:tcW w:w="3416" w:type="dxa"/>
            <w:tcBorders>
              <w:bottom w:val="single" w:sz="12" w:space="0" w:color="000000"/>
            </w:tcBorders>
            <w:vAlign w:val="center"/>
          </w:tcPr>
          <w:p>
            <w:pPr>
              <w:pStyle w:val="TableContents"/>
              <w:bidi w:val="0"/>
              <w:spacing w:before="0" w:after="283"/>
              <w:ind w:left="0" w:right="0" w:hanging="180"/>
              <w:jc w:val="left"/>
              <w:rPr>
                <w:b/>
              </w:rPr>
            </w:pPr>
            <w:r>
              <w:rPr>
                <w:b/>
              </w:rPr>
              <w:t>In thousands of USD</w:t>
            </w:r>
          </w:p>
        </w:tc>
        <w:tc>
          <w:tcPr>
            <w:tcW w:w="60" w:type="dxa"/>
            <w:tcBorders/>
            <w:tcMar>
              <w:bottom w:w="0" w:type="dxa"/>
            </w:tcMar>
            <w:vAlign w:val="center"/>
          </w:tcPr>
          <w:p>
            <w:pPr>
              <w:pStyle w:val="TableContents"/>
              <w:bidi w:val="0"/>
              <w:spacing w:before="0" w:after="283"/>
              <w:jc w:val="left"/>
              <w:rPr/>
            </w:pPr>
            <w:r>
              <w:rPr/>
              <w:t> </w:t>
            </w:r>
          </w:p>
        </w:tc>
        <w:tc>
          <w:tcPr>
            <w:tcW w:w="3342" w:type="dxa"/>
            <w:gridSpan w:val="2"/>
            <w:tcBorders>
              <w:bottom w:val="single" w:sz="12" w:space="0" w:color="000000"/>
            </w:tcBorders>
            <w:vAlign w:val="center"/>
          </w:tcPr>
          <w:p>
            <w:pPr>
              <w:pStyle w:val="TableContents"/>
              <w:bidi w:val="0"/>
              <w:spacing w:before="0" w:after="283"/>
              <w:jc w:val="center"/>
              <w:rPr>
                <w:b/>
              </w:rPr>
            </w:pPr>
            <w:r>
              <w:rPr>
                <w:b/>
              </w:rPr>
              <w:t>Unlisted equity instruments and debt instruments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9" w:type="dxa"/>
            <w:gridSpan w:val="2"/>
            <w:tcBorders>
              <w:bottom w:val="single" w:sz="12" w:space="0" w:color="000000"/>
            </w:tcBorders>
            <w:vAlign w:val="center"/>
          </w:tcPr>
          <w:p>
            <w:pPr>
              <w:pStyle w:val="TableContents"/>
              <w:bidi w:val="0"/>
              <w:spacing w:before="0" w:after="283"/>
              <w:jc w:val="center"/>
              <w:rPr>
                <w:b/>
              </w:rPr>
            </w:pPr>
            <w:r>
              <w:rPr>
                <w:b/>
              </w:rPr>
              <w:t>Derivative assets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5" w:type="dxa"/>
            <w:gridSpan w:val="2"/>
            <w:tcBorders>
              <w:bottom w:val="single" w:sz="12" w:space="0" w:color="000000"/>
            </w:tcBorders>
            <w:vAlign w:val="center"/>
          </w:tcPr>
          <w:p>
            <w:pPr>
              <w:pStyle w:val="TableContents"/>
              <w:bidi w:val="0"/>
              <w:spacing w:before="0" w:after="283"/>
              <w:jc w:val="center"/>
              <w:rPr>
                <w:b/>
              </w:rPr>
            </w:pPr>
            <w:r>
              <w:rPr>
                <w:b/>
              </w:rPr>
              <w:t>Derivative liabilities</w:t>
            </w:r>
          </w:p>
        </w:tc>
        <w:tc>
          <w:tcPr>
            <w:tcW w:w="98" w:type="dxa"/>
            <w:tcBorders/>
            <w:tcMar>
              <w:bottom w:w="0" w:type="dxa"/>
            </w:tcMar>
            <w:vAlign w:val="center"/>
          </w:tcPr>
          <w:p>
            <w:pPr>
              <w:pStyle w:val="TableContents"/>
              <w:bidi w:val="0"/>
              <w:spacing w:before="0" w:after="283"/>
              <w:ind w:left="0" w:right="0" w:hanging="180"/>
              <w:jc w:val="left"/>
              <w:rPr/>
            </w:pPr>
            <w:r>
              <w:rPr/>
              <w:t> </w:t>
            </w:r>
          </w:p>
        </w:tc>
      </w:tr>
      <w:tr>
        <w:trPr/>
        <w:tc>
          <w:tcPr>
            <w:tcW w:w="3416" w:type="dxa"/>
            <w:tcBorders/>
            <w:shd w:fill="CCEEFF" w:val="clear"/>
            <w:tcMar>
              <w:bottom w:w="0" w:type="dxa"/>
            </w:tcMar>
            <w:vAlign w:val="center"/>
          </w:tcPr>
          <w:p>
            <w:pPr>
              <w:pStyle w:val="TableContents"/>
              <w:bidi w:val="0"/>
              <w:spacing w:before="0" w:after="283"/>
              <w:jc w:val="left"/>
              <w:rPr>
                <w:b/>
              </w:rPr>
            </w:pPr>
            <w:r>
              <w:rPr>
                <w:b/>
              </w:rPr>
              <w:t>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3055" w:type="dxa"/>
            <w:tcBorders/>
            <w:shd w:fill="CCEEFF" w:val="clear"/>
            <w:tcMar>
              <w:bottom w:w="0" w:type="dxa"/>
            </w:tcMar>
            <w:vAlign w:val="center"/>
          </w:tcPr>
          <w:p>
            <w:pPr>
              <w:pStyle w:val="TableContents"/>
              <w:bidi w:val="0"/>
              <w:spacing w:before="0" w:after="283"/>
              <w:jc w:val="right"/>
              <w:rPr/>
            </w:pPr>
            <w:r>
              <w:rPr/>
              <w:t>3,000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494" w:type="dxa"/>
            <w:tcBorders/>
            <w:shd w:fill="CCEEFF" w:val="clear"/>
            <w:tcMar>
              <w:bottom w:w="0" w:type="dxa"/>
            </w:tcMar>
            <w:vAlign w:val="center"/>
          </w:tcPr>
          <w:p>
            <w:pPr>
              <w:pStyle w:val="TableContents"/>
              <w:bidi w:val="0"/>
              <w:spacing w:before="0" w:after="283"/>
              <w:jc w:val="right"/>
              <w:rPr/>
            </w:pPr>
            <w:r>
              <w:rPr/>
              <w:t>-</w:t>
            </w:r>
          </w:p>
        </w:tc>
        <w:tc>
          <w:tcPr>
            <w:tcW w:w="9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16" w:type="dxa"/>
            <w:tcBorders/>
            <w:shd w:fill="FFFFFF" w:val="clear"/>
            <w:tcMar>
              <w:bottom w:w="0" w:type="dxa"/>
            </w:tcMar>
            <w:vAlign w:val="center"/>
          </w:tcPr>
          <w:p>
            <w:pPr>
              <w:pStyle w:val="TableContents"/>
              <w:bidi w:val="0"/>
              <w:spacing w:before="0" w:after="283"/>
              <w:jc w:val="left"/>
              <w:rPr/>
            </w:pPr>
            <w:r>
              <w:rPr/>
              <w:t>Net fair value changes recognized in 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shd w:fill="FFFFFF" w:val="clear"/>
            <w:tcMar>
              <w:bottom w:w="0" w:type="dxa"/>
            </w:tcMar>
            <w:vAlign w:val="center"/>
          </w:tcPr>
          <w:p>
            <w:pPr>
              <w:pStyle w:val="TableContents"/>
              <w:bidi w:val="0"/>
              <w:spacing w:before="0" w:after="283"/>
              <w:jc w:val="left"/>
              <w:rPr/>
            </w:pPr>
            <w:r>
              <w:rPr/>
              <w:t> </w:t>
            </w:r>
          </w:p>
        </w:tc>
        <w:tc>
          <w:tcPr>
            <w:tcW w:w="30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pPr>
            <w:r>
              <w:rPr/>
              <w:t>19,517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494" w:type="dxa"/>
            <w:tcBorders/>
            <w:shd w:fill="FFFFFF" w:val="clear"/>
            <w:tcMar>
              <w:bottom w:w="0" w:type="dxa"/>
            </w:tcMar>
            <w:vAlign w:val="center"/>
          </w:tcPr>
          <w:p>
            <w:pPr>
              <w:pStyle w:val="TableContents"/>
              <w:bidi w:val="0"/>
              <w:spacing w:before="0" w:after="283"/>
              <w:jc w:val="right"/>
              <w:rPr/>
            </w:pPr>
            <w:r>
              <w:rPr/>
              <w:t>6,529</w:t>
            </w:r>
          </w:p>
        </w:tc>
        <w:tc>
          <w:tcPr>
            <w:tcW w:w="9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416" w:type="dxa"/>
            <w:tcBorders/>
            <w:shd w:fill="CCEEFF" w:val="clear"/>
            <w:tcMar>
              <w:bottom w:w="0" w:type="dxa"/>
            </w:tcMar>
            <w:vAlign w:val="center"/>
          </w:tcPr>
          <w:p>
            <w:pPr>
              <w:pStyle w:val="TableContents"/>
              <w:bidi w:val="0"/>
              <w:spacing w:before="0" w:after="283"/>
              <w:jc w:val="left"/>
              <w:rPr/>
            </w:pPr>
            <w:r>
              <w:rPr/>
              <w:t>Allowance for credit losses recognized in net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CCEEFF" w:val="clear"/>
            <w:vAlign w:val="center"/>
          </w:tcPr>
          <w:p>
            <w:pPr>
              <w:pStyle w:val="TableContents"/>
              <w:bidi w:val="0"/>
              <w:spacing w:before="0" w:after="283"/>
              <w:jc w:val="left"/>
              <w:rPr/>
            </w:pPr>
            <w:r>
              <w:rPr/>
              <w:t> </w:t>
            </w:r>
          </w:p>
        </w:tc>
        <w:tc>
          <w:tcPr>
            <w:tcW w:w="3055" w:type="dxa"/>
            <w:tcBorders>
              <w:bottom w:val="single" w:sz="12" w:space="0" w:color="000000"/>
            </w:tcBorders>
            <w:shd w:fill="CCEEFF" w:val="clear"/>
            <w:vAlign w:val="center"/>
          </w:tcPr>
          <w:p>
            <w:pPr>
              <w:pStyle w:val="TableContents"/>
              <w:bidi w:val="0"/>
              <w:spacing w:before="0" w:after="283"/>
              <w:jc w:val="right"/>
              <w:rPr/>
            </w:pPr>
            <w:r>
              <w:rPr/>
              <w:t>(1,004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306"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1494" w:type="dxa"/>
            <w:tcBorders>
              <w:bottom w:val="single" w:sz="12" w:space="0" w:color="000000"/>
            </w:tcBorders>
            <w:shd w:fill="CCEEFF" w:val="clear"/>
            <w:vAlign w:val="center"/>
          </w:tcPr>
          <w:p>
            <w:pPr>
              <w:pStyle w:val="TableContents"/>
              <w:bidi w:val="0"/>
              <w:spacing w:before="0" w:after="283"/>
              <w:jc w:val="right"/>
              <w:rPr/>
            </w:pPr>
            <w:r>
              <w:rPr/>
              <w:t>-</w:t>
            </w:r>
          </w:p>
        </w:tc>
        <w:tc>
          <w:tcPr>
            <w:tcW w:w="9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16" w:type="dxa"/>
            <w:tcBorders/>
            <w:shd w:fill="FFFFFF" w:val="clear"/>
            <w:tcMar>
              <w:bottom w:w="0" w:type="dxa"/>
            </w:tcMar>
            <w:vAlign w:val="center"/>
          </w:tcPr>
          <w:p>
            <w:pPr>
              <w:pStyle w:val="TableContents"/>
              <w:bidi w:val="0"/>
              <w:spacing w:before="0" w:after="283"/>
              <w:jc w:val="left"/>
              <w:rPr>
                <w:b/>
              </w:rPr>
            </w:pPr>
            <w:r>
              <w:rPr>
                <w:b/>
              </w:rPr>
              <w:t>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FFFFFF" w:val="clear"/>
            <w:vAlign w:val="center"/>
          </w:tcPr>
          <w:p>
            <w:pPr>
              <w:pStyle w:val="TableContents"/>
              <w:bidi w:val="0"/>
              <w:spacing w:before="0" w:after="283"/>
              <w:jc w:val="left"/>
              <w:rPr/>
            </w:pPr>
            <w:r>
              <w:rPr/>
              <w:t> </w:t>
            </w:r>
          </w:p>
        </w:tc>
        <w:tc>
          <w:tcPr>
            <w:tcW w:w="3055" w:type="dxa"/>
            <w:tcBorders>
              <w:bottom w:val="single" w:sz="12" w:space="0" w:color="000000"/>
            </w:tcBorders>
            <w:shd w:fill="FFFFFF" w:val="clear"/>
            <w:vAlign w:val="center"/>
          </w:tcPr>
          <w:p>
            <w:pPr>
              <w:pStyle w:val="TableContents"/>
              <w:bidi w:val="0"/>
              <w:spacing w:before="0" w:after="283"/>
              <w:jc w:val="right"/>
              <w:rPr>
                <w:b/>
              </w:rPr>
            </w:pPr>
            <w:r>
              <w:rPr>
                <w:b/>
              </w:rPr>
              <w:t>1,996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306" w:type="dxa"/>
            <w:tcBorders>
              <w:bottom w:val="single" w:sz="12" w:space="0" w:color="000000"/>
            </w:tcBorders>
            <w:shd w:fill="FFFFFF" w:val="clear"/>
            <w:vAlign w:val="center"/>
          </w:tcPr>
          <w:p>
            <w:pPr>
              <w:pStyle w:val="TableContents"/>
              <w:bidi w:val="0"/>
              <w:spacing w:before="0" w:after="283"/>
              <w:jc w:val="right"/>
              <w:rPr>
                <w:b/>
              </w:rPr>
            </w:pPr>
            <w:r>
              <w:rPr>
                <w:b/>
              </w:rPr>
              <w:t>19,517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FFFFFF" w:val="clear"/>
            <w:vAlign w:val="center"/>
          </w:tcPr>
          <w:p>
            <w:pPr>
              <w:pStyle w:val="TableContents"/>
              <w:bidi w:val="0"/>
              <w:spacing w:before="0" w:after="283"/>
              <w:jc w:val="left"/>
              <w:rPr/>
            </w:pPr>
            <w:r>
              <w:rPr/>
              <w:t> </w:t>
            </w:r>
          </w:p>
        </w:tc>
        <w:tc>
          <w:tcPr>
            <w:tcW w:w="1494" w:type="dxa"/>
            <w:tcBorders>
              <w:bottom w:val="single" w:sz="12" w:space="0" w:color="000000"/>
            </w:tcBorders>
            <w:shd w:fill="FFFFFF" w:val="clear"/>
            <w:vAlign w:val="center"/>
          </w:tcPr>
          <w:p>
            <w:pPr>
              <w:pStyle w:val="TableContents"/>
              <w:bidi w:val="0"/>
              <w:spacing w:before="0" w:after="283"/>
              <w:jc w:val="right"/>
              <w:rPr>
                <w:b/>
              </w:rPr>
            </w:pPr>
            <w:r>
              <w:rPr>
                <w:b/>
              </w:rPr>
              <w:t>6,529</w:t>
            </w:r>
          </w:p>
        </w:tc>
        <w:tc>
          <w:tcPr>
            <w:tcW w:w="9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41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3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494"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416" w:type="dxa"/>
            <w:tcBorders/>
            <w:shd w:fill="FFFFFF" w:val="clear"/>
            <w:tcMar>
              <w:bottom w:w="0" w:type="dxa"/>
            </w:tcMar>
            <w:vAlign w:val="center"/>
          </w:tcPr>
          <w:p>
            <w:pPr>
              <w:pStyle w:val="TableContents"/>
              <w:bidi w:val="0"/>
              <w:spacing w:before="0" w:after="283"/>
              <w:jc w:val="left"/>
              <w:rPr>
                <w:b/>
              </w:rPr>
            </w:pPr>
            <w:r>
              <w:rPr>
                <w:b/>
              </w:rPr>
              <w:t>At January 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shd w:fill="FFFFFF" w:val="clear"/>
            <w:tcMar>
              <w:bottom w:w="0" w:type="dxa"/>
            </w:tcMar>
            <w:vAlign w:val="center"/>
          </w:tcPr>
          <w:p>
            <w:pPr>
              <w:pStyle w:val="TableContents"/>
              <w:bidi w:val="0"/>
              <w:spacing w:before="0" w:after="283"/>
              <w:jc w:val="left"/>
              <w:rPr/>
            </w:pPr>
            <w:r>
              <w:rPr/>
              <w:t> </w:t>
            </w:r>
          </w:p>
        </w:tc>
        <w:tc>
          <w:tcPr>
            <w:tcW w:w="3055" w:type="dxa"/>
            <w:tcBorders/>
            <w:shd w:fill="FFFFFF" w:val="clear"/>
            <w:tcMar>
              <w:bottom w:w="0" w:type="dxa"/>
            </w:tcMar>
            <w:vAlign w:val="center"/>
          </w:tcPr>
          <w:p>
            <w:pPr>
              <w:pStyle w:val="TableContents"/>
              <w:bidi w:val="0"/>
              <w:spacing w:before="0" w:after="283"/>
              <w:jc w:val="right"/>
              <w:rPr/>
            </w:pPr>
            <w:r>
              <w:rPr/>
              <w:t>3,540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1494" w:type="dxa"/>
            <w:tcBorders/>
            <w:shd w:fill="FFFFFF" w:val="clear"/>
            <w:tcMar>
              <w:bottom w:w="0" w:type="dxa"/>
            </w:tcMar>
            <w:vAlign w:val="center"/>
          </w:tcPr>
          <w:p>
            <w:pPr>
              <w:pStyle w:val="TableContents"/>
              <w:bidi w:val="0"/>
              <w:spacing w:before="0" w:after="283"/>
              <w:jc w:val="right"/>
              <w:rPr/>
            </w:pPr>
            <w:r>
              <w:rPr/>
              <w:t>295,736</w:t>
            </w:r>
          </w:p>
        </w:tc>
        <w:tc>
          <w:tcPr>
            <w:tcW w:w="9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416" w:type="dxa"/>
            <w:tcBorders/>
            <w:shd w:fill="CCEEFF" w:val="clear"/>
            <w:tcMar>
              <w:bottom w:w="0" w:type="dxa"/>
            </w:tcMar>
            <w:vAlign w:val="center"/>
          </w:tcPr>
          <w:p>
            <w:pPr>
              <w:pStyle w:val="TableContents"/>
              <w:bidi w:val="0"/>
              <w:spacing w:before="0" w:after="283"/>
              <w:jc w:val="left"/>
              <w:rPr/>
            </w:pPr>
            <w:r>
              <w:rPr/>
              <w:t>Derecognition of derivative liabilities on conversion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shd w:fill="CCEEFF" w:val="clear"/>
            <w:tcMar>
              <w:bottom w:w="0" w:type="dxa"/>
            </w:tcMar>
            <w:vAlign w:val="center"/>
          </w:tcPr>
          <w:p>
            <w:pPr>
              <w:pStyle w:val="TableContents"/>
              <w:bidi w:val="0"/>
              <w:spacing w:before="0" w:after="283"/>
              <w:jc w:val="left"/>
              <w:rPr/>
            </w:pPr>
            <w:r>
              <w:rPr/>
              <w:t> </w:t>
            </w:r>
          </w:p>
        </w:tc>
        <w:tc>
          <w:tcPr>
            <w:tcW w:w="30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1494" w:type="dxa"/>
            <w:tcBorders/>
            <w:shd w:fill="CCEEFF" w:val="clear"/>
            <w:tcMar>
              <w:bottom w:w="0" w:type="dxa"/>
            </w:tcMar>
            <w:vAlign w:val="center"/>
          </w:tcPr>
          <w:p>
            <w:pPr>
              <w:pStyle w:val="TableContents"/>
              <w:bidi w:val="0"/>
              <w:spacing w:before="0" w:after="283"/>
              <w:jc w:val="right"/>
              <w:rPr/>
            </w:pPr>
            <w:r>
              <w:rPr/>
              <w:t>(122,091</w:t>
            </w:r>
          </w:p>
        </w:tc>
        <w:tc>
          <w:tcPr>
            <w:tcW w:w="98"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416" w:type="dxa"/>
            <w:tcBorders/>
            <w:shd w:fill="FFFFFF" w:val="clear"/>
            <w:tcMar>
              <w:bottom w:w="0" w:type="dxa"/>
            </w:tcMar>
            <w:vAlign w:val="center"/>
          </w:tcPr>
          <w:p>
            <w:pPr>
              <w:pStyle w:val="TableContents"/>
              <w:bidi w:val="0"/>
              <w:spacing w:before="0" w:after="283"/>
              <w:jc w:val="left"/>
              <w:rPr/>
            </w:pPr>
            <w:r>
              <w:rPr/>
              <w:t>Net fair value changes recognized in 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FFFFFF" w:val="clear"/>
            <w:vAlign w:val="center"/>
          </w:tcPr>
          <w:p>
            <w:pPr>
              <w:pStyle w:val="TableContents"/>
              <w:bidi w:val="0"/>
              <w:spacing w:before="0" w:after="283"/>
              <w:jc w:val="left"/>
              <w:rPr/>
            </w:pPr>
            <w:r>
              <w:rPr/>
              <w:t> </w:t>
            </w:r>
          </w:p>
        </w:tc>
        <w:tc>
          <w:tcPr>
            <w:tcW w:w="30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306"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FFFFFF" w:val="clear"/>
            <w:vAlign w:val="center"/>
          </w:tcPr>
          <w:p>
            <w:pPr>
              <w:pStyle w:val="TableContents"/>
              <w:bidi w:val="0"/>
              <w:spacing w:before="0" w:after="283"/>
              <w:jc w:val="left"/>
              <w:rPr/>
            </w:pPr>
            <w:r>
              <w:rPr/>
              <w:t> </w:t>
            </w:r>
          </w:p>
        </w:tc>
        <w:tc>
          <w:tcPr>
            <w:tcW w:w="1494" w:type="dxa"/>
            <w:tcBorders>
              <w:bottom w:val="single" w:sz="12" w:space="0" w:color="000000"/>
            </w:tcBorders>
            <w:shd w:fill="FFFFFF" w:val="clear"/>
            <w:vAlign w:val="center"/>
          </w:tcPr>
          <w:p>
            <w:pPr>
              <w:pStyle w:val="TableContents"/>
              <w:bidi w:val="0"/>
              <w:spacing w:before="0" w:after="283"/>
              <w:jc w:val="right"/>
              <w:rPr/>
            </w:pPr>
            <w:r>
              <w:rPr/>
              <w:t>(165,352</w:t>
            </w:r>
          </w:p>
        </w:tc>
        <w:tc>
          <w:tcPr>
            <w:tcW w:w="98"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416" w:type="dxa"/>
            <w:tcBorders/>
            <w:shd w:fill="CCEEFF" w:val="clear"/>
            <w:tcMar>
              <w:bottom w:w="0" w:type="dxa"/>
            </w:tcMar>
            <w:vAlign w:val="center"/>
          </w:tcPr>
          <w:p>
            <w:pPr>
              <w:pStyle w:val="TableContents"/>
              <w:bidi w:val="0"/>
              <w:spacing w:before="0" w:after="283"/>
              <w:jc w:val="left"/>
              <w:rPr>
                <w:b/>
              </w:rPr>
            </w:pPr>
            <w:r>
              <w:rPr>
                <w:b/>
              </w:rPr>
              <w:t>At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 w:type="dxa"/>
            <w:tcBorders>
              <w:bottom w:val="single" w:sz="12" w:space="0" w:color="000000"/>
            </w:tcBorders>
            <w:shd w:fill="CCEEFF" w:val="clear"/>
            <w:vAlign w:val="center"/>
          </w:tcPr>
          <w:p>
            <w:pPr>
              <w:pStyle w:val="TableContents"/>
              <w:bidi w:val="0"/>
              <w:spacing w:before="0" w:after="283"/>
              <w:jc w:val="left"/>
              <w:rPr/>
            </w:pPr>
            <w:r>
              <w:rPr/>
              <w:t> </w:t>
            </w:r>
          </w:p>
        </w:tc>
        <w:tc>
          <w:tcPr>
            <w:tcW w:w="3055" w:type="dxa"/>
            <w:tcBorders>
              <w:bottom w:val="single" w:sz="12" w:space="0" w:color="000000"/>
            </w:tcBorders>
            <w:shd w:fill="CCEEFF" w:val="clear"/>
            <w:vAlign w:val="center"/>
          </w:tcPr>
          <w:p>
            <w:pPr>
              <w:pStyle w:val="TableContents"/>
              <w:bidi w:val="0"/>
              <w:spacing w:before="0" w:after="283"/>
              <w:jc w:val="right"/>
              <w:rPr>
                <w:b/>
              </w:rPr>
            </w:pPr>
            <w:r>
              <w:rPr>
                <w:b/>
              </w:rPr>
              <w:t>3,540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306"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1494" w:type="dxa"/>
            <w:tcBorders>
              <w:bottom w:val="single" w:sz="12" w:space="0" w:color="000000"/>
            </w:tcBorders>
            <w:shd w:fill="CCEEFF" w:val="clear"/>
            <w:vAlign w:val="center"/>
          </w:tcPr>
          <w:p>
            <w:pPr>
              <w:pStyle w:val="TableContents"/>
              <w:bidi w:val="0"/>
              <w:spacing w:before="0" w:after="283"/>
              <w:jc w:val="right"/>
              <w:rPr>
                <w:b/>
              </w:rPr>
            </w:pPr>
            <w:r>
              <w:rPr>
                <w:b/>
              </w:rPr>
              <w:t>8,293</w:t>
            </w:r>
          </w:p>
        </w:tc>
        <w:tc>
          <w:tcPr>
            <w:tcW w:w="9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5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DIGITAL ASSETS AND DIGITAL ASSETS RECEIVABLES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digital assets (in thousands of USD, except units):</w:t>
      </w:r>
    </w:p>
    <w:p>
      <w:pPr>
        <w:pStyle w:val="TextBody"/>
        <w:bidi w:val="0"/>
        <w:spacing w:before="0" w:after="0"/>
        <w:ind w:left="0" w:right="0" w:hanging="0"/>
        <w:jc w:val="both"/>
        <w:rPr>
          <w:caps w:val="false"/>
          <w:smallCaps w:val="false"/>
        </w:rPr>
      </w:pPr>
      <w:r>
        <w:rPr>
          <w:caps w:val="false"/>
          <w:smallCaps w:val="false"/>
        </w:rPr>
        <w:t> </w:t>
      </w:r>
    </w:p>
    <w:tbl>
      <w:tblPr>
        <w:tblW w:w="7940" w:type="dxa"/>
        <w:jc w:val="left"/>
        <w:tblInd w:w="0" w:type="dxa"/>
        <w:tblLayout w:type="fixed"/>
        <w:tblCellMar>
          <w:top w:w="0" w:type="dxa"/>
          <w:left w:w="0" w:type="dxa"/>
          <w:bottom w:w="0" w:type="dxa"/>
          <w:right w:w="0" w:type="dxa"/>
        </w:tblCellMar>
      </w:tblPr>
      <w:tblGrid>
        <w:gridCol w:w="2165"/>
        <w:gridCol w:w="60"/>
        <w:gridCol w:w="60"/>
        <w:gridCol w:w="980"/>
        <w:gridCol w:w="60"/>
        <w:gridCol w:w="60"/>
        <w:gridCol w:w="60"/>
        <w:gridCol w:w="680"/>
        <w:gridCol w:w="60"/>
        <w:gridCol w:w="60"/>
        <w:gridCol w:w="60"/>
        <w:gridCol w:w="680"/>
        <w:gridCol w:w="60"/>
        <w:gridCol w:w="60"/>
        <w:gridCol w:w="60"/>
        <w:gridCol w:w="980"/>
        <w:gridCol w:w="60"/>
        <w:gridCol w:w="60"/>
        <w:gridCol w:w="60"/>
        <w:gridCol w:w="680"/>
        <w:gridCol w:w="60"/>
        <w:gridCol w:w="60"/>
        <w:gridCol w:w="60"/>
        <w:gridCol w:w="680"/>
        <w:gridCol w:w="75"/>
      </w:tblGrid>
      <w:tr>
        <w:trPr/>
        <w:tc>
          <w:tcPr>
            <w:tcW w:w="21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At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At December 31, 2025</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Cost </w:t>
              <w:b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Cost </w:t>
              <w:b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BTC (Bitcoin)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65,546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ETH (Ethereum)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9,038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FIL (Filecoin)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USDT (Tether)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5,311,566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7,501,927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digital assets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87,771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85,488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 - not meaningful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various other digital assets, none of which individually represented more than 5% of the fair value of total digital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digital assets:</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165"/>
        <w:gridCol w:w="60"/>
        <w:gridCol w:w="60"/>
        <w:gridCol w:w="1055"/>
        <w:gridCol w:w="95"/>
        <w:gridCol w:w="60"/>
        <w:gridCol w:w="60"/>
        <w:gridCol w:w="875"/>
        <w:gridCol w:w="110"/>
      </w:tblGrid>
      <w:tr>
        <w:trPr/>
        <w:tc>
          <w:tcPr>
            <w:tcW w:w="21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ind w:left="0" w:right="0" w:hanging="180"/>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93,671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1,262,101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210,127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Dispositions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(1,284,199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(118,124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24,411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(28,628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(5,013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165" w:type="dxa"/>
            <w:tcBorders/>
            <w:shd w:fill="FFFFFF" w:val="clear"/>
            <w:vAlign w:val="center"/>
          </w:tcPr>
          <w:p>
            <w:pPr>
              <w:pStyle w:val="TableContents"/>
              <w:bidi w:val="0"/>
              <w:spacing w:before="0" w:after="283"/>
              <w:jc w:val="left"/>
              <w:rPr/>
            </w:pPr>
            <w:r>
              <w:rPr/>
              <w:t>Ending 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205,072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2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less than US$1,000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arise mainly from the Group’s ordinary operating activities, particularly digital asset self-mining and receipt of digital assets from customers as payment for mining-related services. Additions are also inclusive of refund of pledged collateral from a related party of US$314.7 million.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Dispositions arise from sales for fiat currency and the use of digital assets to settle operating obligations. Dispositions are also inclusive of transactions with a related party, comprising digital assets transferred as pledged collateral of US$357.6 million and digital assets of US$6.4 million used to pay the premium on put option transactions. Refer to Note 20.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gains and losses by each asset held. These amounts include cumulative realized losses of US$19.2 million and gains of $0.2 million, and unrealized losses of US$9.4 million and gains of US$19.2 million, during the six months ended June 30, 2026 and 2025,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Digital assets – receivables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Group has pledged approximately 162.4 million USDT (US$162.2 million fair value equivalent) to BIT Group, a related party in connection with borrowings facility drawdowns. The receivable balance carried a fair value of US$162.2 million, consisting principal amount of US$162.4 million and embedded derivative liability of US$0.2 million. Refer to Note 20 for more details.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digital assets – receivables are as follows:</w:t>
      </w:r>
    </w:p>
    <w:p>
      <w:pPr>
        <w:pStyle w:val="TextBody"/>
        <w:bidi w:val="0"/>
        <w:spacing w:before="0" w:after="0"/>
        <w:ind w:left="0" w:right="0" w:firstLine="360"/>
        <w:jc w:val="both"/>
        <w:rPr>
          <w:caps w:val="false"/>
          <w:smallCaps w:val="false"/>
        </w:rPr>
      </w:pPr>
      <w:r>
        <w:rPr>
          <w:caps w:val="false"/>
          <w:smallCaps w:val="false"/>
        </w:rPr>
        <w:t> </w:t>
      </w:r>
    </w:p>
    <w:tbl>
      <w:tblPr>
        <w:tblW w:w="6859" w:type="dxa"/>
        <w:jc w:val="left"/>
        <w:tblInd w:w="0" w:type="dxa"/>
        <w:tblLayout w:type="fixed"/>
        <w:tblCellMar>
          <w:top w:w="0" w:type="dxa"/>
          <w:left w:w="0" w:type="dxa"/>
          <w:bottom w:w="0" w:type="dxa"/>
          <w:right w:w="0" w:type="dxa"/>
        </w:tblCellMar>
      </w:tblPr>
      <w:tblGrid>
        <w:gridCol w:w="4580"/>
        <w:gridCol w:w="60"/>
        <w:gridCol w:w="90"/>
        <w:gridCol w:w="1321"/>
        <w:gridCol w:w="143"/>
        <w:gridCol w:w="90"/>
        <w:gridCol w:w="193"/>
        <w:gridCol w:w="307"/>
        <w:gridCol w:w="75"/>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458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4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Beginning balances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135,558</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Transfer from digital assets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357,600</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Refund of collateral from a related party</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(314,680</w:t>
            </w:r>
          </w:p>
        </w:tc>
        <w:tc>
          <w:tcPr>
            <w:tcW w:w="143"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Net fair value changes recognized in net income</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(16,307</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Ending balances</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double" w:sz="10" w:space="0" w:color="000000"/>
            </w:tcBorders>
            <w:shd w:fill="CCEEFF" w:val="clear"/>
            <w:tcMar>
              <w:bottom w:w="28" w:type="dxa"/>
            </w:tcMar>
            <w:vAlign w:val="center"/>
          </w:tcPr>
          <w:p>
            <w:pPr>
              <w:pStyle w:val="TableContents"/>
              <w:bidi w:val="0"/>
              <w:spacing w:before="0" w:after="283"/>
              <w:jc w:val="right"/>
              <w:rPr/>
            </w:pPr>
            <w:r>
              <w:rPr/>
              <w:t>162,171</w:t>
            </w:r>
          </w:p>
        </w:tc>
        <w:tc>
          <w:tcPr>
            <w:tcW w:w="14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34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PREPAYMENTS AND OTHER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breakdown of prepayments and other assets is as follows:</w:t>
      </w:r>
    </w:p>
    <w:p>
      <w:pPr>
        <w:pStyle w:val="TextBody"/>
        <w:bidi w:val="0"/>
        <w:spacing w:before="0" w:after="0"/>
        <w:ind w:left="0" w:right="0" w:hanging="0"/>
        <w:jc w:val="both"/>
        <w:rPr>
          <w:caps w:val="false"/>
          <w:smallCaps w:val="false"/>
        </w:rPr>
      </w:pPr>
      <w:r>
        <w:rPr>
          <w:caps w:val="false"/>
          <w:smallCaps w:val="false"/>
        </w:rPr>
        <w:t> </w:t>
      </w:r>
    </w:p>
    <w:tbl>
      <w:tblPr>
        <w:tblW w:w="5713" w:type="dxa"/>
        <w:jc w:val="left"/>
        <w:tblInd w:w="0" w:type="dxa"/>
        <w:tblLayout w:type="fixed"/>
        <w:tblCellMar>
          <w:top w:w="0" w:type="dxa"/>
          <w:left w:w="0" w:type="dxa"/>
          <w:bottom w:w="0" w:type="dxa"/>
          <w:right w:w="0" w:type="dxa"/>
        </w:tblCellMar>
      </w:tblPr>
      <w:tblGrid>
        <w:gridCol w:w="3170"/>
        <w:gridCol w:w="60"/>
        <w:gridCol w:w="61"/>
        <w:gridCol w:w="813"/>
        <w:gridCol w:w="60"/>
        <w:gridCol w:w="60"/>
        <w:gridCol w:w="98"/>
        <w:gridCol w:w="1316"/>
        <w:gridCol w:w="75"/>
      </w:tblGrid>
      <w:tr>
        <w:trPr/>
        <w:tc>
          <w:tcPr>
            <w:tcW w:w="31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317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Prepayments to suppliers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202,004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667,462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Deposits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65,063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35,650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Deductible input value-added tax</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12,059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pPr>
            <w:r>
              <w:rPr/>
              <w:t>Prepayments of income tax</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2,459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2,459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7,012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5,342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295,154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722,972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89,892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698,291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170" w:type="dxa"/>
            <w:tcBorders/>
            <w:shd w:fill="CCEEFF" w:val="clear"/>
            <w:vAlign w:val="center"/>
          </w:tcPr>
          <w:p>
            <w:pPr>
              <w:pStyle w:val="TableContents"/>
              <w:bidi w:val="0"/>
              <w:spacing w:before="0" w:after="283"/>
              <w:jc w:val="left"/>
              <w:rPr/>
            </w:pPr>
            <w:r>
              <w:rPr/>
              <w:t>Noncurrent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205,262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24,681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295,154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722,972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pays deposits to certain electricity service providers.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periods ended June 30, 2026 and 2025, the Group did not recognize any allowance for expected credit losses or impairment for prepayments and other assets. </w:t>
      </w:r>
    </w:p>
    <w:p>
      <w:pPr>
        <w:pStyle w:val="TextBody"/>
        <w:bidi w:val="0"/>
        <w:spacing w:before="0" w:after="0"/>
        <w:ind w:left="142" w:right="0" w:firstLine="567"/>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INVENTORIES,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details of inventories are as follows:</w:t>
      </w:r>
    </w:p>
    <w:p>
      <w:pPr>
        <w:pStyle w:val="TextBody"/>
        <w:bidi w:val="0"/>
        <w:spacing w:before="0" w:after="0"/>
        <w:ind w:left="0" w:right="0" w:hanging="0"/>
        <w:jc w:val="both"/>
        <w:rPr>
          <w:caps w:val="false"/>
          <w:smallCaps w:val="false"/>
        </w:rPr>
      </w:pPr>
      <w:r>
        <w:rPr>
          <w:caps w:val="false"/>
          <w:smallCaps w:val="false"/>
        </w:rPr>
        <w:t> </w:t>
      </w:r>
    </w:p>
    <w:tbl>
      <w:tblPr>
        <w:tblW w:w="4708" w:type="dxa"/>
        <w:jc w:val="left"/>
        <w:tblInd w:w="0" w:type="dxa"/>
        <w:tblLayout w:type="fixed"/>
        <w:tblCellMar>
          <w:top w:w="0" w:type="dxa"/>
          <w:left w:w="0" w:type="dxa"/>
          <w:bottom w:w="0" w:type="dxa"/>
          <w:right w:w="0" w:type="dxa"/>
        </w:tblCellMar>
      </w:tblPr>
      <w:tblGrid>
        <w:gridCol w:w="2165"/>
        <w:gridCol w:w="60"/>
        <w:gridCol w:w="338"/>
        <w:gridCol w:w="536"/>
        <w:gridCol w:w="60"/>
        <w:gridCol w:w="60"/>
        <w:gridCol w:w="98"/>
        <w:gridCol w:w="1316"/>
        <w:gridCol w:w="75"/>
      </w:tblGrid>
      <w:tr>
        <w:trPr/>
        <w:tc>
          <w:tcPr>
            <w:tcW w:w="21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118,400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Work-in-progress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128,182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5,417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33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3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251,999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periods ended June 30, 2026 and 2025, there were US$3.8 million and US$63.2 million inventory recognized as expense and included in cost of revenue, respectively. Approximately US$183.9 and US$146.8 million of inventories during the periods ended June 30, 2026 and 2025, respectively, was transferred to mining rigs. The Group did not record any write-down of inventories during the periods ended June 30, 2026 and 2025. In April 2026, following a change of use from sale to own mining, the Group reclassified inventories with a carrying amount of US$613.0 million to property, plant and equipment, with no gain or loss recognized. Depreciation on these assets will commence once they are ready for their intended use, over their estimated useful life of three years.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2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SHORT-TERM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the categories of short-term investments held by the Group:</w:t>
      </w:r>
    </w:p>
    <w:p>
      <w:pPr>
        <w:pStyle w:val="TextBody"/>
        <w:bidi w:val="0"/>
        <w:spacing w:before="0" w:after="0"/>
        <w:ind w:left="0" w:right="0" w:hanging="0"/>
        <w:jc w:val="left"/>
        <w:rPr>
          <w:caps w:val="false"/>
          <w:smallCaps w:val="false"/>
        </w:rPr>
      </w:pPr>
      <w:r>
        <w:rPr>
          <w:caps w:val="false"/>
          <w:smallCaps w:val="false"/>
        </w:rPr>
        <w:t> </w:t>
      </w:r>
    </w:p>
    <w:tbl>
      <w:tblPr>
        <w:tblW w:w="7633" w:type="dxa"/>
        <w:jc w:val="left"/>
        <w:tblInd w:w="0" w:type="dxa"/>
        <w:tblLayout w:type="fixed"/>
        <w:tblCellMar>
          <w:top w:w="0" w:type="dxa"/>
          <w:left w:w="0" w:type="dxa"/>
          <w:bottom w:w="0" w:type="dxa"/>
          <w:right w:w="0" w:type="dxa"/>
        </w:tblCellMar>
      </w:tblPr>
      <w:tblGrid>
        <w:gridCol w:w="5090"/>
        <w:gridCol w:w="60"/>
        <w:gridCol w:w="84"/>
        <w:gridCol w:w="790"/>
        <w:gridCol w:w="60"/>
        <w:gridCol w:w="60"/>
        <w:gridCol w:w="136"/>
        <w:gridCol w:w="1278"/>
        <w:gridCol w:w="75"/>
      </w:tblGrid>
      <w:tr>
        <w:trPr/>
        <w:tc>
          <w:tcPr>
            <w:tcW w:w="50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Available-for-sale</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2,196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4,100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Equity securities: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Equity securities with readily determinable fair values</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pPr>
            <w:r>
              <w:rPr/>
              <w:t>876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as of June 30, 2026 and December 31, 2025 are shown as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05"/>
        <w:gridCol w:w="60"/>
        <w:gridCol w:w="100"/>
        <w:gridCol w:w="940"/>
        <w:gridCol w:w="60"/>
        <w:gridCol w:w="60"/>
        <w:gridCol w:w="93"/>
        <w:gridCol w:w="992"/>
        <w:gridCol w:w="95"/>
        <w:gridCol w:w="60"/>
        <w:gridCol w:w="105"/>
        <w:gridCol w:w="980"/>
        <w:gridCol w:w="60"/>
        <w:gridCol w:w="60"/>
        <w:gridCol w:w="125"/>
        <w:gridCol w:w="960"/>
        <w:gridCol w:w="95"/>
        <w:gridCol w:w="60"/>
        <w:gridCol w:w="60"/>
        <w:gridCol w:w="560"/>
        <w:gridCol w:w="75"/>
      </w:tblGrid>
      <w:tr>
        <w:trPr/>
        <w:tc>
          <w:tcPr>
            <w:tcW w:w="460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46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At June 30, 2026</w:t>
            </w:r>
          </w:p>
        </w:tc>
        <w:tc>
          <w:tcPr>
            <w:tcW w:w="75" w:type="dxa"/>
            <w:tcBorders/>
            <w:vAlign w:val="center"/>
          </w:tcPr>
          <w:p>
            <w:pPr>
              <w:pStyle w:val="TableContents"/>
              <w:bidi w:val="0"/>
              <w:spacing w:before="0" w:after="283"/>
              <w:ind w:left="0" w:right="0" w:hanging="180"/>
              <w:jc w:val="left"/>
              <w:rPr/>
            </w:pPr>
            <w:r>
              <w:rPr/>
              <w:t> </w:t>
            </w:r>
          </w:p>
        </w:tc>
      </w:tr>
      <w:tr>
        <w:trPr/>
        <w:tc>
          <w:tcPr>
            <w:tcW w:w="4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Cost 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Allowance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Gross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for credit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unrealized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Fair</w:t>
            </w:r>
          </w:p>
        </w:tc>
        <w:tc>
          <w:tcPr>
            <w:tcW w:w="75" w:type="dxa"/>
            <w:tcBorders/>
            <w:vAlign w:val="center"/>
          </w:tcPr>
          <w:p>
            <w:pPr>
              <w:pStyle w:val="TableContents"/>
              <w:bidi w:val="0"/>
              <w:spacing w:before="0" w:after="283"/>
              <w:ind w:left="0" w:right="0" w:hanging="180"/>
              <w:jc w:val="left"/>
              <w:rPr/>
            </w:pPr>
            <w:r>
              <w:rPr/>
              <w:t> </w:t>
            </w:r>
          </w:p>
        </w:tc>
      </w:tr>
      <w:tr>
        <w:trPr/>
        <w:tc>
          <w:tcPr>
            <w:tcW w:w="460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ind w:left="0" w:right="0" w:hanging="180"/>
              <w:jc w:val="left"/>
              <w:rPr/>
            </w:pPr>
            <w:r>
              <w:rPr/>
              <w:t> </w:t>
            </w:r>
          </w:p>
        </w:tc>
      </w:tr>
      <w:tr>
        <w:trPr/>
        <w:tc>
          <w:tcPr>
            <w:tcW w:w="4605" w:type="dxa"/>
            <w:tcBorders/>
            <w:vAlign w:val="center"/>
          </w:tcPr>
          <w:p>
            <w:pPr>
              <w:pStyle w:val="TableContents"/>
              <w:bidi w:val="0"/>
              <w:spacing w:before="0" w:after="283"/>
              <w:jc w:val="left"/>
              <w:rPr>
                <w:b/>
              </w:rPr>
            </w:pPr>
            <w:r>
              <w:rPr>
                <w:b/>
              </w:rPr>
              <w:t>Short-term investments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605" w:type="dxa"/>
            <w:tcBorders/>
            <w:vAlign w:val="center"/>
          </w:tcPr>
          <w:p>
            <w:pPr>
              <w:pStyle w:val="TableContents"/>
              <w:bidi w:val="0"/>
              <w:spacing w:before="0" w:after="283"/>
              <w:jc w:val="left"/>
              <w:rPr/>
            </w:pPr>
            <w:r>
              <w:rPr/>
              <w:t>Available-for-sale debt investments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605" w:type="dxa"/>
            <w:tcBorders/>
            <w:shd w:fill="CCEEFF" w:val="clear"/>
            <w:vAlign w:val="center"/>
          </w:tcPr>
          <w:p>
            <w:pPr>
              <w:pStyle w:val="TableContents"/>
              <w:bidi w:val="0"/>
              <w:spacing w:before="0" w:after="283"/>
              <w:jc w:val="left"/>
              <w:rPr/>
            </w:pPr>
            <w:r>
              <w:rPr/>
              <w:t>Investment G - money market funds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05" w:type="dxa"/>
            <w:tcBorders/>
            <w:shd w:fill="FFFFFF" w:val="clear"/>
            <w:vAlign w:val="center"/>
          </w:tcPr>
          <w:p>
            <w:pPr>
              <w:pStyle w:val="TableContents"/>
              <w:bidi w:val="0"/>
              <w:spacing w:before="0" w:after="283"/>
              <w:jc w:val="left"/>
              <w:rPr/>
            </w:pPr>
            <w:r>
              <w:rPr/>
              <w:t>Investment H - corporate bonds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(1,004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1,996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3,200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2,196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05" w:type="dxa"/>
            <w:tcBorders/>
            <w:shd w:fill="FFFFFF" w:val="clear"/>
            <w:vAlign w:val="center"/>
          </w:tcPr>
          <w:p>
            <w:pPr>
              <w:pStyle w:val="TableContents"/>
              <w:bidi w:val="0"/>
              <w:spacing w:before="0" w:after="283"/>
              <w:jc w:val="left"/>
              <w:rPr/>
            </w:pPr>
            <w:r>
              <w:rPr/>
              <w:t>Equity securities with readily determinable fair values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05" w:type="dxa"/>
            <w:tcBorders/>
            <w:shd w:fill="CCEEFF" w:val="clear"/>
            <w:vAlign w:val="center"/>
          </w:tcPr>
          <w:p>
            <w:pPr>
              <w:pStyle w:val="TableContents"/>
              <w:bidi w:val="0"/>
              <w:spacing w:before="0" w:after="283"/>
              <w:jc w:val="left"/>
              <w:rPr/>
            </w:pPr>
            <w:r>
              <w:rPr/>
              <w:t>Investment J</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05" w:type="dxa"/>
            <w:tcBorders/>
            <w:shd w:fill="FFFFFF" w:val="clear"/>
            <w:vAlign w:val="center"/>
          </w:tcPr>
          <w:p>
            <w:pPr>
              <w:pStyle w:val="TableContents"/>
              <w:bidi w:val="0"/>
              <w:spacing w:before="0" w:after="283"/>
              <w:jc w:val="left"/>
              <w:rPr/>
            </w:pPr>
            <w:r>
              <w:rPr/>
              <w:t>Investment L</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05"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10" w:space="0" w:color="000000"/>
            </w:tcBorders>
            <w:shd w:fill="FFFFFF" w:val="clear"/>
            <w:tcMar>
              <w:bottom w:w="28" w:type="dxa"/>
            </w:tcMar>
            <w:vAlign w:val="center"/>
          </w:tcPr>
          <w:p>
            <w:pPr>
              <w:pStyle w:val="TableContents"/>
              <w:bidi w:val="0"/>
              <w:spacing w:before="0" w:after="283"/>
              <w:jc w:val="right"/>
              <w:rPr/>
            </w:pPr>
            <w:r>
              <w:rPr/>
              <w:t>4,700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(1,004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double" w:sz="10" w:space="0" w:color="000000"/>
            </w:tcBorders>
            <w:shd w:fill="FFFFFF" w:val="clear"/>
            <w:tcMar>
              <w:bottom w:w="28" w:type="dxa"/>
            </w:tcMar>
            <w:vAlign w:val="center"/>
          </w:tcPr>
          <w:p>
            <w:pPr>
              <w:pStyle w:val="TableContents"/>
              <w:bidi w:val="0"/>
              <w:spacing w:before="0" w:after="283"/>
              <w:jc w:val="right"/>
              <w:rPr/>
            </w:pPr>
            <w:r>
              <w:rPr/>
              <w:t>(912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4,028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allowance for credit losses on Investment H of US$1.0 million was recognized in net income during the six months ended June 30, 2026. No portion of the decline in fair value of Investment H was recognized in other comprehensive income. </w:t>
      </w:r>
    </w:p>
    <w:p>
      <w:pPr>
        <w:pStyle w:val="TextBody"/>
        <w:bidi w:val="0"/>
        <w:spacing w:before="0" w:after="0"/>
        <w:ind w:left="0" w:right="0" w:hanging="0"/>
        <w:jc w:val="both"/>
        <w:rPr>
          <w:caps w:val="false"/>
          <w:smallCaps w:val="false"/>
        </w:rPr>
      </w:pPr>
      <w:r>
        <w:rPr>
          <w:caps w:val="false"/>
          <w:smallCaps w:val="false"/>
        </w:rPr>
        <w:t> </w:t>
      </w:r>
    </w:p>
    <w:tbl>
      <w:tblPr>
        <w:tblW w:w="9450" w:type="dxa"/>
        <w:jc w:val="left"/>
        <w:tblInd w:w="0" w:type="dxa"/>
        <w:tblLayout w:type="fixed"/>
        <w:tblCellMar>
          <w:top w:w="0" w:type="dxa"/>
          <w:left w:w="0" w:type="dxa"/>
          <w:bottom w:w="0" w:type="dxa"/>
          <w:right w:w="0" w:type="dxa"/>
        </w:tblCellMar>
      </w:tblPr>
      <w:tblGrid>
        <w:gridCol w:w="5090"/>
        <w:gridCol w:w="60"/>
        <w:gridCol w:w="100"/>
        <w:gridCol w:w="940"/>
        <w:gridCol w:w="60"/>
        <w:gridCol w:w="60"/>
        <w:gridCol w:w="202"/>
        <w:gridCol w:w="883"/>
        <w:gridCol w:w="60"/>
        <w:gridCol w:w="60"/>
        <w:gridCol w:w="125"/>
        <w:gridCol w:w="960"/>
        <w:gridCol w:w="95"/>
        <w:gridCol w:w="60"/>
        <w:gridCol w:w="60"/>
        <w:gridCol w:w="560"/>
        <w:gridCol w:w="75"/>
      </w:tblGrid>
      <w:tr>
        <w:trPr/>
        <w:tc>
          <w:tcPr>
            <w:tcW w:w="50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2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At December 31, 2025</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Cost 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Gross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unrealized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Fair</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vAlign w:val="center"/>
          </w:tcPr>
          <w:p>
            <w:pPr>
              <w:pStyle w:val="TableContents"/>
              <w:bidi w:val="0"/>
              <w:spacing w:before="0" w:after="283"/>
              <w:jc w:val="left"/>
              <w:rPr>
                <w:b/>
              </w:rPr>
            </w:pPr>
            <w:r>
              <w:rPr>
                <w:b/>
              </w:rPr>
              <w:t>Short-term investments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vAlign w:val="center"/>
          </w:tcPr>
          <w:p>
            <w:pPr>
              <w:pStyle w:val="TableContents"/>
              <w:bidi w:val="0"/>
              <w:spacing w:before="0" w:after="283"/>
              <w:jc w:val="left"/>
              <w:rPr/>
            </w:pPr>
            <w:r>
              <w:rPr/>
              <w:t>Available-for-sale debt investments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Investment G - money market funds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Investment H - corporate bonds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4,100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4,100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Equity securities with readily determinable fair values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Investment J</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563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Investment L</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313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CCEEFF" w:val="clear"/>
            <w:tcMar>
              <w:bottom w:w="28" w:type="dxa"/>
            </w:tcM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center"/>
          </w:tcPr>
          <w:p>
            <w:pPr>
              <w:pStyle w:val="TableContents"/>
              <w:bidi w:val="0"/>
              <w:spacing w:before="0" w:after="283"/>
              <w:jc w:val="right"/>
              <w:rPr/>
            </w:pPr>
            <w:r>
              <w:rPr/>
              <w:t>(687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10" w:space="0" w:color="000000"/>
            </w:tcBorders>
            <w:shd w:fill="FFFFFF" w:val="clear"/>
            <w:tcMar>
              <w:bottom w:w="28" w:type="dxa"/>
            </w:tcMar>
            <w:vAlign w:val="center"/>
          </w:tcPr>
          <w:p>
            <w:pPr>
              <w:pStyle w:val="TableContents"/>
              <w:bidi w:val="0"/>
              <w:spacing w:before="0" w:after="283"/>
              <w:jc w:val="right"/>
              <w:rPr/>
            </w:pPr>
            <w:r>
              <w:rPr/>
              <w:t>5,600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double" w:sz="10" w:space="0" w:color="000000"/>
            </w:tcBorders>
            <w:shd w:fill="FFFFFF" w:val="clear"/>
            <w:tcMar>
              <w:bottom w:w="28" w:type="dxa"/>
            </w:tcMar>
            <w:vAlign w:val="center"/>
          </w:tcPr>
          <w:p>
            <w:pPr>
              <w:pStyle w:val="TableContents"/>
              <w:bidi w:val="0"/>
              <w:spacing w:before="0" w:after="283"/>
              <w:jc w:val="right"/>
              <w:rPr/>
            </w:pPr>
            <w:r>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double" w:sz="10"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4,976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50" w:right="0" w:hanging="0"/>
        <w:jc w:val="left"/>
        <w:rPr>
          <w:caps w:val="false"/>
          <w:smallCaps w:val="false"/>
        </w:rPr>
      </w:pPr>
      <w:r>
        <w:rPr>
          <w:caps w:val="false"/>
          <w:smallCaps w:val="false"/>
        </w:rPr>
        <w:t> </w:t>
      </w:r>
    </w:p>
    <w:p>
      <w:pPr>
        <w:pStyle w:val="TextBody"/>
        <w:bidi w:val="0"/>
        <w:spacing w:before="0" w:after="0"/>
        <w:ind w:left="45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estimated fair value of available-for-sale debt investments, classified by the contractual maturity date of the investments.</w:t>
      </w:r>
    </w:p>
    <w:p>
      <w:pPr>
        <w:pStyle w:val="TextBody"/>
        <w:bidi w:val="0"/>
        <w:spacing w:before="0" w:after="0"/>
        <w:ind w:left="0" w:right="0" w:hanging="0"/>
        <w:jc w:val="both"/>
        <w:rPr>
          <w:caps w:val="false"/>
          <w:smallCaps w:val="false"/>
        </w:rPr>
      </w:pPr>
      <w:r>
        <w:rPr>
          <w:caps w:val="false"/>
          <w:smallCaps w:val="false"/>
        </w:rPr>
        <w:t> </w:t>
      </w:r>
    </w:p>
    <w:tbl>
      <w:tblPr>
        <w:tblW w:w="4708" w:type="dxa"/>
        <w:jc w:val="left"/>
        <w:tblInd w:w="0" w:type="dxa"/>
        <w:tblLayout w:type="fixed"/>
        <w:tblCellMar>
          <w:top w:w="0" w:type="dxa"/>
          <w:left w:w="0" w:type="dxa"/>
          <w:bottom w:w="0" w:type="dxa"/>
          <w:right w:w="0" w:type="dxa"/>
        </w:tblCellMar>
      </w:tblPr>
      <w:tblGrid>
        <w:gridCol w:w="2165"/>
        <w:gridCol w:w="60"/>
        <w:gridCol w:w="84"/>
        <w:gridCol w:w="790"/>
        <w:gridCol w:w="60"/>
        <w:gridCol w:w="60"/>
        <w:gridCol w:w="136"/>
        <w:gridCol w:w="1278"/>
        <w:gridCol w:w="75"/>
      </w:tblGrid>
      <w:tr>
        <w:trPr/>
        <w:tc>
          <w:tcPr>
            <w:tcW w:w="21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Due in 1 year</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2,196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pPr>
            <w:r>
              <w:rPr/>
              <w:t>4,100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Group had accrued interest on its available-for-sale debt investments of US$0.5 million and US$0.4 million, respectively, recognized within prepayments and other current assets.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Investment in a fund using the NAV practical expedient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practical expedient, the Group uses net asset value (“NAV”) as the fair value for Investment G.</w:t>
      </w:r>
    </w:p>
    <w:p>
      <w:pPr>
        <w:pStyle w:val="TextBody"/>
        <w:bidi w:val="0"/>
        <w:spacing w:before="0" w:after="0"/>
        <w:ind w:left="0" w:right="0" w:firstLine="72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LONG-TERM INVESTMENTS,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the categories of long-term investments held by the Group: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2"/>
        <w:gridCol w:w="60"/>
        <w:gridCol w:w="68"/>
        <w:gridCol w:w="784"/>
        <w:gridCol w:w="60"/>
        <w:gridCol w:w="60"/>
        <w:gridCol w:w="112"/>
        <w:gridCol w:w="1292"/>
        <w:gridCol w:w="77"/>
      </w:tblGrid>
      <w:tr>
        <w:trPr/>
        <w:tc>
          <w:tcPr>
            <w:tcW w:w="7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2"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center"/>
              <w:rPr>
                <w:b/>
              </w:rPr>
            </w:pPr>
            <w:r>
              <w:rPr>
                <w:b/>
              </w:rPr>
              <w:t>At</w:t>
              <w:br/>
              <w:t>December 31,</w:t>
            </w:r>
          </w:p>
        </w:tc>
        <w:tc>
          <w:tcPr>
            <w:tcW w:w="77" w:type="dxa"/>
            <w:tcBorders/>
            <w:vAlign w:val="center"/>
          </w:tcPr>
          <w:p>
            <w:pPr>
              <w:pStyle w:val="TableContents"/>
              <w:bidi w:val="0"/>
              <w:spacing w:before="0" w:after="283"/>
              <w:jc w:val="left"/>
              <w:rPr/>
            </w:pPr>
            <w:r>
              <w:rPr/>
              <w:t> </w:t>
            </w:r>
          </w:p>
        </w:tc>
      </w:tr>
      <w:tr>
        <w:trPr/>
        <w:tc>
          <w:tcPr>
            <w:tcW w:w="7692"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r>
      <w:tr>
        <w:trPr/>
        <w:tc>
          <w:tcPr>
            <w:tcW w:w="7692" w:type="dxa"/>
            <w:tcBorders/>
            <w:vAlign w:val="center"/>
          </w:tcPr>
          <w:p>
            <w:pPr>
              <w:pStyle w:val="TableContents"/>
              <w:bidi w:val="0"/>
              <w:spacing w:before="0" w:after="283"/>
              <w:jc w:val="left"/>
              <w:rPr>
                <w:b/>
              </w:rPr>
            </w:pPr>
            <w:r>
              <w:rPr>
                <w:b/>
              </w:rPr>
              <w:t>Long-term investments</w:t>
            </w:r>
          </w:p>
        </w:tc>
        <w:tc>
          <w:tcPr>
            <w:tcW w:w="60" w:type="dxa"/>
            <w:tcBorders/>
            <w:vAlign w:val="center"/>
          </w:tcPr>
          <w:p>
            <w:pPr>
              <w:pStyle w:val="TableContents"/>
              <w:bidi w:val="0"/>
              <w:spacing w:before="0" w:after="283"/>
              <w:jc w:val="left"/>
              <w:rPr/>
            </w:pPr>
            <w:r>
              <w:rPr/>
              <w:t> </w:t>
            </w:r>
          </w:p>
        </w:tc>
        <w:tc>
          <w:tcPr>
            <w:tcW w:w="85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7692" w:type="dxa"/>
            <w:tcBorders/>
            <w:vAlign w:val="center"/>
          </w:tcPr>
          <w:p>
            <w:pPr>
              <w:pStyle w:val="TableContents"/>
              <w:bidi w:val="0"/>
              <w:spacing w:before="0" w:after="283"/>
              <w:jc w:val="left"/>
              <w:rPr/>
            </w:pPr>
            <w:r>
              <w:rPr/>
              <w:t>Equity securities:</w:t>
            </w:r>
          </w:p>
        </w:tc>
        <w:tc>
          <w:tcPr>
            <w:tcW w:w="60" w:type="dxa"/>
            <w:tcBorders/>
            <w:vAlign w:val="center"/>
          </w:tcPr>
          <w:p>
            <w:pPr>
              <w:pStyle w:val="TableContents"/>
              <w:bidi w:val="0"/>
              <w:spacing w:before="0" w:after="283"/>
              <w:jc w:val="left"/>
              <w:rPr/>
            </w:pPr>
            <w:r>
              <w:rPr/>
              <w:t> </w:t>
            </w:r>
          </w:p>
        </w:tc>
        <w:tc>
          <w:tcPr>
            <w:tcW w:w="852"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7692" w:type="dxa"/>
            <w:tcBorders/>
            <w:shd w:fill="CCEEFF" w:val="clear"/>
            <w:vAlign w:val="center"/>
          </w:tcPr>
          <w:p>
            <w:pPr>
              <w:pStyle w:val="TableContents"/>
              <w:bidi w:val="0"/>
              <w:spacing w:before="0" w:after="283"/>
              <w:jc w:val="left"/>
              <w:rPr/>
            </w:pPr>
            <w:r>
              <w:rPr/>
              <w:t>Equity investments without readily determinable fair value using the measurement alternative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14,229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14,229</w:t>
            </w:r>
          </w:p>
        </w:tc>
        <w:tc>
          <w:tcPr>
            <w:tcW w:w="77" w:type="dxa"/>
            <w:tcBorders/>
            <w:shd w:fill="CCEEFF" w:val="clear"/>
            <w:vAlign w:val="center"/>
          </w:tcPr>
          <w:p>
            <w:pPr>
              <w:pStyle w:val="TableContents"/>
              <w:bidi w:val="0"/>
              <w:spacing w:before="0" w:after="283"/>
              <w:jc w:val="left"/>
              <w:rPr/>
            </w:pPr>
            <w:r>
              <w:rPr/>
              <w:t> </w:t>
            </w:r>
          </w:p>
        </w:tc>
      </w:tr>
      <w:tr>
        <w:trPr/>
        <w:tc>
          <w:tcPr>
            <w:tcW w:w="7692" w:type="dxa"/>
            <w:tcBorders/>
            <w:shd w:fill="FFFFFF" w:val="clear"/>
            <w:vAlign w:val="center"/>
          </w:tcPr>
          <w:p>
            <w:pPr>
              <w:pStyle w:val="TableContents"/>
              <w:bidi w:val="0"/>
              <w:spacing w:before="0" w:after="283"/>
              <w:jc w:val="left"/>
              <w:rPr/>
            </w:pPr>
            <w:r>
              <w:rPr/>
              <w:t>Equity method investments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18,501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21,618</w:t>
            </w:r>
          </w:p>
        </w:tc>
        <w:tc>
          <w:tcPr>
            <w:tcW w:w="77" w:type="dxa"/>
            <w:tcBorders/>
            <w:shd w:fill="FFFFFF" w:val="clear"/>
            <w:vAlign w:val="center"/>
          </w:tcPr>
          <w:p>
            <w:pPr>
              <w:pStyle w:val="TableContents"/>
              <w:bidi w:val="0"/>
              <w:spacing w:before="0" w:after="283"/>
              <w:jc w:val="left"/>
              <w:rPr/>
            </w:pPr>
            <w:r>
              <w:rPr/>
              <w:t> </w:t>
            </w:r>
          </w:p>
        </w:tc>
      </w:tr>
      <w:tr>
        <w:trPr/>
        <w:tc>
          <w:tcPr>
            <w:tcW w:w="7692" w:type="dxa"/>
            <w:tcBorders/>
            <w:shd w:fill="CCEEFF" w:val="clear"/>
            <w:vAlign w:val="center"/>
          </w:tcPr>
          <w:p>
            <w:pPr>
              <w:pStyle w:val="TableContents"/>
              <w:bidi w:val="0"/>
              <w:spacing w:before="0" w:after="283"/>
              <w:jc w:val="left"/>
              <w:rPr/>
            </w:pPr>
            <w:r>
              <w:rPr/>
              <w:t>Equity investments without readily determinable fair value using the NAV practical expedient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3,234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bidi w:val="0"/>
              <w:spacing w:before="0" w:after="283"/>
              <w:jc w:val="right"/>
              <w:rPr/>
            </w:pPr>
            <w:r>
              <w:rPr/>
              <w:t>3,234</w:t>
            </w:r>
          </w:p>
        </w:tc>
        <w:tc>
          <w:tcPr>
            <w:tcW w:w="77" w:type="dxa"/>
            <w:tcBorders/>
            <w:shd w:fill="CCEEFF" w:val="clear"/>
            <w:vAlign w:val="center"/>
          </w:tcPr>
          <w:p>
            <w:pPr>
              <w:pStyle w:val="TableContents"/>
              <w:bidi w:val="0"/>
              <w:spacing w:before="0" w:after="283"/>
              <w:jc w:val="left"/>
              <w:rPr/>
            </w:pPr>
            <w:r>
              <w:rPr/>
              <w:t> </w:t>
            </w:r>
          </w:p>
        </w:tc>
      </w:tr>
      <w:tr>
        <w:trPr/>
        <w:tc>
          <w:tcPr>
            <w:tcW w:w="7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double" w:sz="10" w:space="0" w:color="000000"/>
            </w:tcBorders>
            <w:shd w:fill="FFFFFF" w:val="clear"/>
            <w:tcMar>
              <w:bottom w:w="28" w:type="dxa"/>
            </w:tcMar>
            <w:vAlign w:val="center"/>
          </w:tcPr>
          <w:p>
            <w:pPr>
              <w:pStyle w:val="TableContents"/>
              <w:bidi w:val="0"/>
              <w:spacing w:before="0" w:after="283"/>
              <w:jc w:val="right"/>
              <w:rPr/>
            </w:pPr>
            <w:r>
              <w:rPr/>
              <w:t>35,964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2" w:type="dxa"/>
            <w:tcBorders>
              <w:bottom w:val="double" w:sz="10" w:space="0" w:color="000000"/>
            </w:tcBorders>
            <w:shd w:fill="FFFFFF" w:val="clear"/>
            <w:tcMar>
              <w:bottom w:w="28" w:type="dxa"/>
            </w:tcMar>
            <w:vAlign w:val="center"/>
          </w:tcPr>
          <w:p>
            <w:pPr>
              <w:pStyle w:val="TableContents"/>
              <w:bidi w:val="0"/>
              <w:spacing w:before="0" w:after="283"/>
              <w:jc w:val="right"/>
              <w:rPr/>
            </w:pPr>
            <w:r>
              <w:rPr/>
              <w:t>39,081</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investments without readily determinable fair value using the NAV practical expedient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practical expedient, the Group uses net asset value (“NAV”) as the fair value for certain equity investments in funds that primarily invest in healthtech, blockchain and other technology companies, which had an aggregate fair value of US$3.2 million as of both June 30, 2026 and December 31, 2025, unfunded commitments of US$4.0 million and US$5.1 million, respectively, and are redeemable as of the reporting date with the prior written consent of the fund.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investments without readily determinable fair value using the measurement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carrying value of equity investments without readily determinable fair value using the measurement alternative as of June 30, 2026 and December 31, 2025 were as follows:</w:t>
      </w:r>
    </w:p>
    <w:p>
      <w:pPr>
        <w:pStyle w:val="TextBody"/>
        <w:bidi w:val="0"/>
        <w:spacing w:before="0" w:after="0"/>
        <w:ind w:left="0" w:right="0" w:firstLine="720"/>
        <w:jc w:val="both"/>
        <w:rPr>
          <w:caps w:val="false"/>
          <w:smallCaps w:val="false"/>
        </w:rPr>
      </w:pPr>
      <w:r>
        <w:rPr>
          <w:caps w:val="false"/>
          <w:smallCaps w:val="false"/>
        </w:rPr>
        <w:t> </w:t>
      </w:r>
    </w:p>
    <w:tbl>
      <w:tblPr>
        <w:tblW w:w="5648" w:type="dxa"/>
        <w:jc w:val="left"/>
        <w:tblInd w:w="0" w:type="dxa"/>
        <w:tblLayout w:type="fixed"/>
        <w:tblCellMar>
          <w:top w:w="0" w:type="dxa"/>
          <w:left w:w="0" w:type="dxa"/>
          <w:bottom w:w="0" w:type="dxa"/>
          <w:right w:w="0" w:type="dxa"/>
        </w:tblCellMar>
      </w:tblPr>
      <w:tblGrid>
        <w:gridCol w:w="3035"/>
        <w:gridCol w:w="60"/>
        <w:gridCol w:w="70"/>
        <w:gridCol w:w="804"/>
        <w:gridCol w:w="95"/>
        <w:gridCol w:w="60"/>
        <w:gridCol w:w="113"/>
        <w:gridCol w:w="1301"/>
        <w:gridCol w:w="110"/>
      </w:tblGrid>
      <w:tr>
        <w:trPr/>
        <w:tc>
          <w:tcPr>
            <w:tcW w:w="30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110" w:type="dxa"/>
            <w:tcBorders/>
            <w:vAlign w:val="center"/>
          </w:tcPr>
          <w:p>
            <w:pPr>
              <w:pStyle w:val="TableContents"/>
              <w:bidi w:val="0"/>
              <w:spacing w:before="0" w:after="283"/>
              <w:ind w:left="0" w:right="0" w:hanging="180"/>
              <w:jc w:val="left"/>
              <w:rPr/>
            </w:pPr>
            <w:r>
              <w:rPr/>
              <w:t> </w:t>
            </w:r>
          </w:p>
        </w:tc>
      </w:tr>
      <w:tr>
        <w:trPr/>
        <w:tc>
          <w:tcPr>
            <w:tcW w:w="303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3035" w:type="dxa"/>
            <w:tcBorders/>
            <w:shd w:fill="CCEEFF" w:val="clear"/>
            <w:vAlign w:val="center"/>
          </w:tcPr>
          <w:p>
            <w:pPr>
              <w:pStyle w:val="TableContents"/>
              <w:bidi w:val="0"/>
              <w:spacing w:before="0" w:after="283"/>
              <w:jc w:val="left"/>
              <w:rPr/>
            </w:pPr>
            <w:r>
              <w:rPr/>
              <w:t>Initial cost basis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15,500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15,500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035" w:type="dxa"/>
            <w:tcBorders/>
            <w:shd w:fill="FFFFFF" w:val="clear"/>
            <w:vAlign w:val="center"/>
          </w:tcPr>
          <w:p>
            <w:pPr>
              <w:pStyle w:val="TableContents"/>
              <w:bidi w:val="0"/>
              <w:spacing w:before="0" w:after="283"/>
              <w:jc w:val="left"/>
              <w:rPr/>
            </w:pPr>
            <w:r>
              <w:rPr/>
              <w:t>Cumulative impairment charges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(1,271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(1,271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035" w:type="dxa"/>
            <w:tcBorders/>
            <w:shd w:fill="CCEEFF" w:val="clear"/>
            <w:vAlign w:val="center"/>
          </w:tcPr>
          <w:p>
            <w:pPr>
              <w:pStyle w:val="TableContents"/>
              <w:bidi w:val="0"/>
              <w:spacing w:before="0" w:after="283"/>
              <w:jc w:val="left"/>
              <w:rPr/>
            </w:pPr>
            <w:r>
              <w:rPr/>
              <w:t>Carrying value</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pPr>
            <w:r>
              <w:rPr/>
              <w:t>14,229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14,229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charges recognized on equity investments without readily determinable fair value using the measurement alternative were nil and US$0.7 million for the six months ended June 30, 2026 and 2025, respectively, included in Other losses, net in the consolidated statements of operations and comprehensive income (loss). The fair value used in the impairment calculation was determined using a market approach. These measurements are classified within Level 3 of the fair value hierarchy, as they involve significant unobservable inputs, principally the selected valuation multiples and the discount for lack of marketability.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method investments (see Note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out below is the Group’s material equity method investment. This disclosure does not represent the Group’s total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Investment in Matrixport Venture Fund I, L.P. (“Matrixport”)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Group held approximately 54.1% and 54.1% equity interest in Matrixport, respectively. Accordingly, the investment is viewed as more than minor and the Group accounts for its investment in Matrixport as an equity method investment in accordance with ASC 323. The Group does not have any substantive kick-out or participating rights as a limited partner investor. Thus, the investment is not consolidated by the Group under ASC 810. For the six months ended June 30, 2026 and 2025, the Group recognized its share of loss of US$3.6 million and US$2.5 million, respectively, in respect of its investment in Matrixport. The carrying amount of the investment was US$16.7 million and US$20.3 million as of June 30, 2026 and December 31, 2025, respectively. No impairment loss was recognized in respect of this investment for the six months ended June 30, 2026 and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75"/>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40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PLANT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property, plant and equipment, net are as follows:</w:t>
      </w:r>
    </w:p>
    <w:p>
      <w:pPr>
        <w:pStyle w:val="TextBody"/>
        <w:bidi w:val="0"/>
        <w:spacing w:before="0" w:after="0"/>
        <w:ind w:left="0" w:right="0" w:hanging="0"/>
        <w:jc w:val="both"/>
        <w:rPr>
          <w:caps w:val="false"/>
          <w:smallCaps w:val="false"/>
        </w:rPr>
      </w:pPr>
      <w:r>
        <w:rPr>
          <w:caps w:val="false"/>
          <w:smallCaps w:val="false"/>
        </w:rPr>
        <w:t> </w:t>
      </w:r>
    </w:p>
    <w:tbl>
      <w:tblPr>
        <w:tblW w:w="7839" w:type="dxa"/>
        <w:jc w:val="left"/>
        <w:tblInd w:w="0" w:type="dxa"/>
        <w:tblLayout w:type="fixed"/>
        <w:tblCellMar>
          <w:top w:w="0" w:type="dxa"/>
          <w:left w:w="0" w:type="dxa"/>
          <w:bottom w:w="0" w:type="dxa"/>
          <w:right w:w="0" w:type="dxa"/>
        </w:tblCellMar>
      </w:tblPr>
      <w:tblGrid>
        <w:gridCol w:w="5060"/>
        <w:gridCol w:w="60"/>
        <w:gridCol w:w="60"/>
        <w:gridCol w:w="980"/>
        <w:gridCol w:w="95"/>
        <w:gridCol w:w="60"/>
        <w:gridCol w:w="81"/>
        <w:gridCol w:w="1333"/>
        <w:gridCol w:w="110"/>
      </w:tblGrid>
      <w:tr>
        <w:trPr/>
        <w:tc>
          <w:tcPr>
            <w:tcW w:w="506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At</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110" w:type="dxa"/>
            <w:tcBorders/>
            <w:vAlign w:val="center"/>
          </w:tcPr>
          <w:p>
            <w:pPr>
              <w:pStyle w:val="TableContents"/>
              <w:bidi w:val="0"/>
              <w:spacing w:before="0" w:after="283"/>
              <w:ind w:left="0" w:right="0" w:hanging="180"/>
              <w:jc w:val="left"/>
              <w:rPr/>
            </w:pPr>
            <w:r>
              <w:rPr/>
              <w:t> </w:t>
            </w:r>
          </w:p>
        </w:tc>
      </w:tr>
      <w:tr>
        <w:trPr/>
        <w:tc>
          <w:tcPr>
            <w:tcW w:w="506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Construction in progress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729,429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134,172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Buildings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110,859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99,716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6,620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126,230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123,725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Electronic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31,207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Leasehold improvements and property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234,398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202,552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Containerized solution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46,174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GPU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13,656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Mining rigs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1,270,521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827,491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pPr>
            <w:r>
              <w:rPr/>
              <w:t>5,553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2,620,586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1,490,866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6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(510,809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(391,131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Less: accumulated impairment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(11,481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CCEEFF" w:val="clear"/>
            <w:tcMar>
              <w:bottom w:w="28" w:type="dxa"/>
            </w:tcMar>
            <w:vAlign w:val="center"/>
          </w:tcPr>
          <w:p>
            <w:pPr>
              <w:pStyle w:val="TableContents"/>
              <w:bidi w:val="0"/>
              <w:spacing w:before="0" w:after="283"/>
              <w:jc w:val="right"/>
              <w:rPr/>
            </w:pPr>
            <w:r>
              <w:rPr/>
              <w:t>(13,460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60" w:type="dxa"/>
            <w:tcBorders/>
            <w:shd w:fill="FFFFFF" w:val="clear"/>
            <w:vAlign w:val="center"/>
          </w:tcPr>
          <w:p>
            <w:pPr>
              <w:pStyle w:val="TableContents"/>
              <w:bidi w:val="0"/>
              <w:spacing w:before="0" w:after="283"/>
              <w:jc w:val="left"/>
              <w:rPr/>
            </w:pPr>
            <w:r>
              <w:rPr/>
              <w:t>Net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2,098,296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double" w:sz="10" w:space="0" w:color="000000"/>
            </w:tcBorders>
            <w:shd w:fill="FFFFFF" w:val="clear"/>
            <w:tcMar>
              <w:bottom w:w="28" w:type="dxa"/>
            </w:tcMar>
            <w:vAlign w:val="center"/>
          </w:tcPr>
          <w:p>
            <w:pPr>
              <w:pStyle w:val="TableContents"/>
              <w:bidi w:val="0"/>
              <w:spacing w:before="0" w:after="283"/>
              <w:jc w:val="right"/>
              <w:rPr/>
            </w:pPr>
            <w:r>
              <w:rPr/>
              <w:t>1,086,275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60"/>
        <w:gridCol w:w="974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 on property, plant and equipment was recognized for the six months ended June 30, 2026 and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primarily represents the construction of AI and mining datacenters and includes mining rigs and related equipment transferred from inventories, following a change of use from sale to own mining, that have not yet been placed into service. Refer to Note 7 for details of the inventories reclassified to property,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were US$190.6 million and US$33.4 million for the six months ended June 30, 2026 and 2025,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and 2025, additions to construction in progress included capitalized interest of US$2.7 million and US$3.8 million, respectively, arising from borrowings comprising convertible senior notes and borrowings from a related party.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Group has provided certain mining rigs as collateral in connection with certain loan arrangements with BIT Group. The carrying amount of the mining rigs provided as collateral amounted to approximately US$834.6 million. Refer to Note 20 for details of the loan arrangements.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75"/>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20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intangible assets are as follows:</w:t>
      </w:r>
    </w:p>
    <w:p>
      <w:pPr>
        <w:pStyle w:val="TextBody"/>
        <w:bidi w:val="0"/>
        <w:spacing w:before="0" w:after="0"/>
        <w:ind w:left="0" w:right="0" w:hanging="0"/>
        <w:jc w:val="both"/>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4310"/>
        <w:gridCol w:w="60"/>
        <w:gridCol w:w="62"/>
        <w:gridCol w:w="828"/>
        <w:gridCol w:w="60"/>
        <w:gridCol w:w="60"/>
        <w:gridCol w:w="100"/>
        <w:gridCol w:w="1270"/>
        <w:gridCol w:w="95"/>
        <w:gridCol w:w="60"/>
        <w:gridCol w:w="478"/>
        <w:gridCol w:w="757"/>
        <w:gridCol w:w="60"/>
        <w:gridCol w:w="60"/>
        <w:gridCol w:w="72"/>
        <w:gridCol w:w="818"/>
        <w:gridCol w:w="75"/>
      </w:tblGrid>
      <w:tr>
        <w:trPr/>
        <w:tc>
          <w:tcPr>
            <w:tcW w:w="43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7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At June 30, 2026</w:t>
            </w:r>
          </w:p>
        </w:tc>
        <w:tc>
          <w:tcPr>
            <w:tcW w:w="75" w:type="dxa"/>
            <w:tcBorders/>
            <w:vAlign w:val="center"/>
          </w:tcPr>
          <w:p>
            <w:pPr>
              <w:pStyle w:val="TableContents"/>
              <w:bidi w:val="0"/>
              <w:spacing w:before="0" w:after="283"/>
              <w:ind w:left="0" w:right="0" w:hanging="180"/>
              <w:jc w:val="left"/>
              <w:rPr/>
            </w:pPr>
            <w:r>
              <w:rPr/>
              <w:t> </w:t>
            </w:r>
          </w:p>
        </w:tc>
      </w:tr>
      <w:tr>
        <w:trPr/>
        <w:tc>
          <w:tcPr>
            <w:tcW w:w="431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br/>
              <w:t>carrying</w:t>
              <w:br/>
              <w:t>value</w:t>
            </w:r>
          </w:p>
        </w:tc>
        <w:tc>
          <w:tcPr>
            <w:tcW w:w="75" w:type="dxa"/>
            <w:tcBorders/>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Rights to electrical capacity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51,710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51,640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310" w:type="dxa"/>
            <w:tcBorders/>
            <w:shd w:fill="FFFFFF" w:val="clear"/>
            <w:vAlign w:val="center"/>
          </w:tcPr>
          <w:p>
            <w:pPr>
              <w:pStyle w:val="TableContents"/>
              <w:bidi w:val="0"/>
              <w:spacing w:before="0" w:after="283"/>
              <w:jc w:val="left"/>
              <w:rPr/>
            </w:pPr>
            <w:r>
              <w:rPr/>
              <w:t>Technologies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63,633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(38,854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24,779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Patents, trademarks, royalties and other rights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10,735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(5,182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5,553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310" w:type="dxa"/>
            <w:tcBorders/>
            <w:shd w:fill="FFFFFF" w:val="clear"/>
            <w:vAlign w:val="center"/>
          </w:tcPr>
          <w:p>
            <w:pPr>
              <w:pStyle w:val="TableContents"/>
              <w:bidi w:val="0"/>
              <w:spacing w:before="0" w:after="283"/>
              <w:jc w:val="left"/>
              <w:rPr/>
            </w:pPr>
            <w:r>
              <w:rPr/>
              <w:t>Software</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FFFFFF" w:val="clear"/>
            <w:tcMar>
              <w:bottom w:w="28" w:type="dxa"/>
            </w:tcMar>
            <w:vAlign w:val="center"/>
          </w:tcPr>
          <w:p>
            <w:pPr>
              <w:pStyle w:val="TableContents"/>
              <w:bidi w:val="0"/>
              <w:spacing w:before="0" w:after="283"/>
              <w:jc w:val="right"/>
              <w:rPr/>
            </w:pPr>
            <w:r>
              <w:rPr/>
              <w:t>1,742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bidi w:val="0"/>
              <w:spacing w:before="0" w:after="283"/>
              <w:jc w:val="right"/>
              <w:rPr/>
            </w:pPr>
            <w:r>
              <w:rPr/>
              <w:t>(800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shd w:fill="FFFFFF" w:val="clear"/>
            <w:tcMar>
              <w:bottom w:w="28" w:type="dxa"/>
            </w:tcMar>
            <w:vAlign w:val="center"/>
          </w:tcPr>
          <w:p>
            <w:pPr>
              <w:pStyle w:val="TableContents"/>
              <w:bidi w:val="0"/>
              <w:spacing w:before="0" w:after="283"/>
              <w:jc w:val="right"/>
              <w:rPr/>
            </w:pPr>
            <w:r>
              <w:rPr/>
              <w:t>942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double" w:sz="10" w:space="0" w:color="000000"/>
            </w:tcBorders>
            <w:shd w:fill="CCEEFF" w:val="clear"/>
            <w:tcMar>
              <w:bottom w:w="28" w:type="dxa"/>
            </w:tcMar>
            <w:vAlign w:val="center"/>
          </w:tcPr>
          <w:p>
            <w:pPr>
              <w:pStyle w:val="TableContents"/>
              <w:bidi w:val="0"/>
              <w:spacing w:before="0" w:after="283"/>
              <w:jc w:val="right"/>
              <w:rPr/>
            </w:pPr>
            <w:r>
              <w:rPr/>
              <w:t>127,820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double" w:sz="10" w:space="0" w:color="000000"/>
            </w:tcBorders>
            <w:shd w:fill="CCEEFF" w:val="clear"/>
            <w:tcMar>
              <w:bottom w:w="28" w:type="dxa"/>
            </w:tcMar>
            <w:vAlign w:val="center"/>
          </w:tcPr>
          <w:p>
            <w:pPr>
              <w:pStyle w:val="TableContents"/>
              <w:bidi w:val="0"/>
              <w:spacing w:before="0" w:after="283"/>
              <w:jc w:val="right"/>
              <w:rPr/>
            </w:pPr>
            <w:r>
              <w:rPr/>
              <w:t>(44,906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8" w:type="dxa"/>
            <w:tcBorders>
              <w:bottom w:val="double" w:sz="10" w:space="0" w:color="000000"/>
            </w:tcBorders>
            <w:shd w:fill="CCEEFF" w:val="clear"/>
            <w:tcMar>
              <w:bottom w:w="28" w:type="dxa"/>
            </w:tcMar>
            <w:vAlign w:val="center"/>
          </w:tcPr>
          <w:p>
            <w:pPr>
              <w:pStyle w:val="TableContents"/>
              <w:bidi w:val="0"/>
              <w:spacing w:before="0" w:after="283"/>
              <w:jc w:val="right"/>
              <w:rPr/>
            </w:pPr>
            <w:r>
              <w:rPr/>
              <w:t>82,914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4310"/>
        <w:gridCol w:w="60"/>
        <w:gridCol w:w="62"/>
        <w:gridCol w:w="828"/>
        <w:gridCol w:w="60"/>
        <w:gridCol w:w="60"/>
        <w:gridCol w:w="100"/>
        <w:gridCol w:w="1270"/>
        <w:gridCol w:w="95"/>
        <w:gridCol w:w="60"/>
        <w:gridCol w:w="478"/>
        <w:gridCol w:w="757"/>
        <w:gridCol w:w="60"/>
        <w:gridCol w:w="60"/>
        <w:gridCol w:w="72"/>
        <w:gridCol w:w="818"/>
        <w:gridCol w:w="75"/>
      </w:tblGrid>
      <w:tr>
        <w:trPr/>
        <w:tc>
          <w:tcPr>
            <w:tcW w:w="43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7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At December 31, 2025</w:t>
            </w:r>
          </w:p>
        </w:tc>
        <w:tc>
          <w:tcPr>
            <w:tcW w:w="75" w:type="dxa"/>
            <w:tcBorders/>
            <w:vAlign w:val="center"/>
          </w:tcPr>
          <w:p>
            <w:pPr>
              <w:pStyle w:val="TableContents"/>
              <w:bidi w:val="0"/>
              <w:spacing w:before="0" w:after="283"/>
              <w:ind w:left="0" w:right="0" w:hanging="180"/>
              <w:jc w:val="left"/>
              <w:rPr/>
            </w:pPr>
            <w:r>
              <w:rPr/>
              <w:t> </w:t>
            </w:r>
          </w:p>
        </w:tc>
      </w:tr>
      <w:tr>
        <w:trPr/>
        <w:tc>
          <w:tcPr>
            <w:tcW w:w="431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br/>
              <w:t>carrying</w:t>
              <w:br/>
              <w:t>value</w:t>
            </w:r>
          </w:p>
        </w:tc>
        <w:tc>
          <w:tcPr>
            <w:tcW w:w="75" w:type="dxa"/>
            <w:tcBorders/>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Rights to electrical capacity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51,710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51,710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310" w:type="dxa"/>
            <w:tcBorders/>
            <w:shd w:fill="FFFFFF" w:val="clear"/>
            <w:vAlign w:val="center"/>
          </w:tcPr>
          <w:p>
            <w:pPr>
              <w:pStyle w:val="TableContents"/>
              <w:bidi w:val="0"/>
              <w:spacing w:before="0" w:after="283"/>
              <w:jc w:val="left"/>
              <w:rPr/>
            </w:pPr>
            <w:r>
              <w:rPr/>
              <w:t>Technologies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63,633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(28,281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35,352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Patents, trademarks, royalties and other rights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9,168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(3,765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5,403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310" w:type="dxa"/>
            <w:tcBorders/>
            <w:shd w:fill="FFFFFF" w:val="clear"/>
            <w:vAlign w:val="center"/>
          </w:tcPr>
          <w:p>
            <w:pPr>
              <w:pStyle w:val="TableContents"/>
              <w:bidi w:val="0"/>
              <w:spacing w:before="0" w:after="283"/>
              <w:jc w:val="left"/>
              <w:rPr/>
            </w:pPr>
            <w:r>
              <w:rPr/>
              <w:t>Software</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FFFFFF" w:val="clear"/>
            <w:tcMar>
              <w:bottom w:w="28" w:type="dxa"/>
            </w:tcMar>
            <w:vAlign w:val="center"/>
          </w:tcPr>
          <w:p>
            <w:pPr>
              <w:pStyle w:val="TableContents"/>
              <w:bidi w:val="0"/>
              <w:spacing w:before="0" w:after="283"/>
              <w:jc w:val="right"/>
              <w:rPr/>
            </w:pPr>
            <w:r>
              <w:rPr/>
              <w:t>1,686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bidi w:val="0"/>
              <w:spacing w:before="0" w:after="283"/>
              <w:jc w:val="right"/>
              <w:rPr/>
            </w:pPr>
            <w:r>
              <w:rPr/>
              <w:t>(719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shd w:fill="FFFFFF" w:val="clear"/>
            <w:tcMar>
              <w:bottom w:w="28" w:type="dxa"/>
            </w:tcMar>
            <w:vAlign w:val="center"/>
          </w:tcPr>
          <w:p>
            <w:pPr>
              <w:pStyle w:val="TableContents"/>
              <w:bidi w:val="0"/>
              <w:spacing w:before="0" w:after="283"/>
              <w:jc w:val="right"/>
              <w:rPr/>
            </w:pPr>
            <w:r>
              <w:rPr/>
              <w:t>967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3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double" w:sz="10" w:space="0" w:color="000000"/>
            </w:tcBorders>
            <w:shd w:fill="CCEEFF" w:val="clear"/>
            <w:tcMar>
              <w:bottom w:w="28" w:type="dxa"/>
            </w:tcMar>
            <w:vAlign w:val="center"/>
          </w:tcPr>
          <w:p>
            <w:pPr>
              <w:pStyle w:val="TableContents"/>
              <w:bidi w:val="0"/>
              <w:spacing w:before="0" w:after="283"/>
              <w:jc w:val="right"/>
              <w:rPr/>
            </w:pPr>
            <w:r>
              <w:rPr/>
              <w:t>126,197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0" w:type="dxa"/>
            <w:tcBorders>
              <w:bottom w:val="double" w:sz="10" w:space="0" w:color="000000"/>
            </w:tcBorders>
            <w:shd w:fill="CCEEFF" w:val="clear"/>
            <w:tcMar>
              <w:bottom w:w="28" w:type="dxa"/>
            </w:tcMar>
            <w:vAlign w:val="center"/>
          </w:tcPr>
          <w:p>
            <w:pPr>
              <w:pStyle w:val="TableContents"/>
              <w:bidi w:val="0"/>
              <w:spacing w:before="0" w:after="283"/>
              <w:jc w:val="right"/>
              <w:rPr/>
            </w:pPr>
            <w:r>
              <w:rPr/>
              <w:t>(32,765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8" w:type="dxa"/>
            <w:tcBorders>
              <w:bottom w:val="double" w:sz="10" w:space="0" w:color="000000"/>
            </w:tcBorders>
            <w:shd w:fill="CCEEFF" w:val="clear"/>
            <w:tcMar>
              <w:bottom w:w="28" w:type="dxa"/>
            </w:tcMar>
            <w:vAlign w:val="center"/>
          </w:tcPr>
          <w:p>
            <w:pPr>
              <w:pStyle w:val="TableContents"/>
              <w:bidi w:val="0"/>
              <w:spacing w:before="0" w:after="283"/>
              <w:jc w:val="right"/>
              <w:rPr/>
            </w:pPr>
            <w:r>
              <w:rPr/>
              <w:t>93,432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expenses for intangible assets were US$12.0 million and US$11.6 million for the six months ended June 30, 2026 and 2025 respectively. No impairment loss was recorded for the six months ended June 30, 2026 and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expense relating to the existing intangible assets with finite lives for each of the next five years as of June 30, 2026 is as follow:</w:t>
      </w:r>
    </w:p>
    <w:p>
      <w:pPr>
        <w:pStyle w:val="TextBody"/>
        <w:bidi w:val="0"/>
        <w:spacing w:before="0" w:after="0"/>
        <w:ind w:left="0" w:right="0" w:firstLine="720"/>
        <w:jc w:val="both"/>
        <w:rPr>
          <w:caps w:val="false"/>
          <w:smallCaps w:val="false"/>
        </w:rPr>
      </w:pPr>
      <w:r>
        <w:rPr>
          <w:caps w:val="false"/>
          <w:smallCaps w:val="false"/>
        </w:rPr>
        <w:t> </w:t>
      </w:r>
    </w:p>
    <w:tbl>
      <w:tblPr>
        <w:tblW w:w="3174" w:type="dxa"/>
        <w:jc w:val="left"/>
        <w:tblInd w:w="0" w:type="dxa"/>
        <w:tblLayout w:type="fixed"/>
        <w:tblCellMar>
          <w:top w:w="0" w:type="dxa"/>
          <w:left w:w="0" w:type="dxa"/>
          <w:bottom w:w="0" w:type="dxa"/>
          <w:right w:w="0" w:type="dxa"/>
        </w:tblCellMar>
      </w:tblPr>
      <w:tblGrid>
        <w:gridCol w:w="2165"/>
        <w:gridCol w:w="60"/>
        <w:gridCol w:w="70"/>
        <w:gridCol w:w="804"/>
        <w:gridCol w:w="7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75" w:type="dxa"/>
            <w:tcBorders/>
            <w:vAlign w:val="center"/>
          </w:tcPr>
          <w:p>
            <w:pPr>
              <w:pStyle w:val="TableContents"/>
              <w:bidi w:val="0"/>
              <w:spacing w:before="0" w:after="283"/>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Second half of 2026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12,313</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17,405</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1,611</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279</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7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occupies most of its office premises and certain AI and mining datacenters under lease arrangements, which generally have an initial lease term between two to thirty years. Lease contracts are typically made for fixed periods but may have extension options. Any extension options in these leases have not been included in the lease liabilities unless the Group is reasonably certain to exercise the extension option. In addition, periods after termination options are only included in the lease term if the lease is reasonably certain not to be terminated. The Group does not have an option to purchase these leased assets at the expiration of the lease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cost recognized in net income is summarized as follows:</w:t>
      </w:r>
    </w:p>
    <w:p>
      <w:pPr>
        <w:pStyle w:val="TextBody"/>
        <w:bidi w:val="0"/>
        <w:spacing w:before="0" w:after="0"/>
        <w:ind w:left="0" w:right="0" w:firstLine="720"/>
        <w:jc w:val="both"/>
        <w:rPr>
          <w:caps w:val="false"/>
          <w:smallCaps w:val="false"/>
        </w:rPr>
      </w:pPr>
      <w:r>
        <w:rPr>
          <w:caps w:val="false"/>
          <w:smallCaps w:val="false"/>
        </w:rPr>
        <w:t> </w:t>
      </w:r>
    </w:p>
    <w:tbl>
      <w:tblPr>
        <w:tblW w:w="5887" w:type="dxa"/>
        <w:jc w:val="left"/>
        <w:tblInd w:w="0" w:type="dxa"/>
        <w:tblLayout w:type="fixed"/>
        <w:tblCellMar>
          <w:top w:w="0" w:type="dxa"/>
          <w:left w:w="0" w:type="dxa"/>
          <w:bottom w:w="0" w:type="dxa"/>
          <w:right w:w="0" w:type="dxa"/>
        </w:tblCellMar>
      </w:tblPr>
      <w:tblGrid>
        <w:gridCol w:w="4235"/>
        <w:gridCol w:w="60"/>
        <w:gridCol w:w="61"/>
        <w:gridCol w:w="698"/>
        <w:gridCol w:w="61"/>
        <w:gridCol w:w="61"/>
        <w:gridCol w:w="61"/>
        <w:gridCol w:w="575"/>
        <w:gridCol w:w="75"/>
      </w:tblGrid>
      <w:tr>
        <w:trPr/>
        <w:tc>
          <w:tcPr>
            <w:tcW w:w="42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5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Periods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423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4235"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9,496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8,153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pPr>
            <w:r>
              <w:rPr/>
              <w:t>Expenses relating to variable payment leases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76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235" w:type="dxa"/>
            <w:tcBorders/>
            <w:shd w:fill="CCEEFF" w:val="clear"/>
            <w:vAlign w:val="center"/>
          </w:tcPr>
          <w:p>
            <w:pPr>
              <w:pStyle w:val="TableContents"/>
              <w:bidi w:val="0"/>
              <w:spacing w:before="0" w:after="283"/>
              <w:jc w:val="left"/>
              <w:rPr/>
            </w:pPr>
            <w:r>
              <w:rPr/>
              <w:t>Expenses relating to short-term leases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center"/>
          </w:tcPr>
          <w:p>
            <w:pPr>
              <w:pStyle w:val="TableContents"/>
              <w:bidi w:val="0"/>
              <w:spacing w:before="0" w:after="283"/>
              <w:jc w:val="right"/>
              <w:rPr/>
            </w:pPr>
            <w:r>
              <w:rPr/>
              <w:t>893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3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double" w:sz="10" w:space="0" w:color="000000"/>
            </w:tcBorders>
            <w:shd w:fill="FFFFFF" w:val="clear"/>
            <w:tcMar>
              <w:bottom w:w="28" w:type="dxa"/>
            </w:tcMar>
            <w:vAlign w:val="center"/>
          </w:tcPr>
          <w:p>
            <w:pPr>
              <w:pStyle w:val="TableContents"/>
              <w:bidi w:val="0"/>
              <w:spacing w:before="0" w:after="283"/>
              <w:jc w:val="right"/>
              <w:rPr/>
            </w:pPr>
            <w:r>
              <w:rPr/>
              <w:t>10,389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double" w:sz="10" w:space="0" w:color="000000"/>
            </w:tcBorders>
            <w:shd w:fill="FFFFFF" w:val="clear"/>
            <w:tcMar>
              <w:bottom w:w="28" w:type="dxa"/>
            </w:tcMar>
            <w:vAlign w:val="center"/>
          </w:tcPr>
          <w:p>
            <w:pPr>
              <w:pStyle w:val="TableContents"/>
              <w:bidi w:val="0"/>
              <w:spacing w:before="0" w:after="283"/>
              <w:jc w:val="right"/>
              <w:rPr/>
            </w:pPr>
            <w:r>
              <w:rPr/>
              <w:t>8,340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about lease amounts recognized in the consolidated financial statements is as follows:</w:t>
      </w:r>
    </w:p>
    <w:p>
      <w:pPr>
        <w:pStyle w:val="TextBody"/>
        <w:bidi w:val="0"/>
        <w:spacing w:before="0" w:after="0"/>
        <w:ind w:left="0" w:right="0" w:hanging="0"/>
        <w:jc w:val="both"/>
        <w:rPr>
          <w:caps w:val="false"/>
          <w:smallCaps w:val="false"/>
        </w:rPr>
      </w:pPr>
      <w:r>
        <w:rPr>
          <w:caps w:val="false"/>
          <w:smallCaps w:val="false"/>
        </w:rPr>
        <w:t> </w:t>
      </w:r>
    </w:p>
    <w:tbl>
      <w:tblPr>
        <w:tblW w:w="8363" w:type="dxa"/>
        <w:jc w:val="left"/>
        <w:tblInd w:w="0" w:type="dxa"/>
        <w:tblLayout w:type="fixed"/>
        <w:tblCellMar>
          <w:top w:w="0" w:type="dxa"/>
          <w:left w:w="0" w:type="dxa"/>
          <w:bottom w:w="0" w:type="dxa"/>
          <w:right w:w="0" w:type="dxa"/>
        </w:tblCellMar>
      </w:tblPr>
      <w:tblGrid>
        <w:gridCol w:w="5510"/>
        <w:gridCol w:w="60"/>
        <w:gridCol w:w="65"/>
        <w:gridCol w:w="809"/>
        <w:gridCol w:w="215"/>
        <w:gridCol w:w="60"/>
        <w:gridCol w:w="169"/>
        <w:gridCol w:w="1245"/>
        <w:gridCol w:w="23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23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Weighted-average remaining lease term – operating leases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 years</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4.8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information related to the Group’s leases were as follows:</w:t>
      </w:r>
    </w:p>
    <w:p>
      <w:pPr>
        <w:pStyle w:val="TextBody"/>
        <w:bidi w:val="0"/>
        <w:spacing w:before="0" w:after="0"/>
        <w:ind w:left="0" w:right="0" w:firstLine="720"/>
        <w:jc w:val="both"/>
        <w:rPr>
          <w:caps w:val="false"/>
          <w:smallCaps w:val="false"/>
        </w:rPr>
      </w:pPr>
      <w:r>
        <w:rPr>
          <w:caps w:val="false"/>
          <w:smallCaps w:val="false"/>
        </w:rPr>
        <w:t> </w:t>
      </w:r>
    </w:p>
    <w:tbl>
      <w:tblPr>
        <w:tblW w:w="4523" w:type="dxa"/>
        <w:jc w:val="left"/>
        <w:tblInd w:w="0" w:type="dxa"/>
        <w:tblLayout w:type="fixed"/>
        <w:tblCellMar>
          <w:top w:w="0" w:type="dxa"/>
          <w:left w:w="0" w:type="dxa"/>
          <w:bottom w:w="0" w:type="dxa"/>
          <w:right w:w="0" w:type="dxa"/>
        </w:tblCellMar>
      </w:tblPr>
      <w:tblGrid>
        <w:gridCol w:w="2870"/>
        <w:gridCol w:w="60"/>
        <w:gridCol w:w="67"/>
        <w:gridCol w:w="625"/>
        <w:gridCol w:w="67"/>
        <w:gridCol w:w="67"/>
        <w:gridCol w:w="67"/>
        <w:gridCol w:w="625"/>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Periods ended </w:t>
              <w:br/>
              <w:t>June 30,</w:t>
            </w:r>
          </w:p>
        </w:tc>
        <w:tc>
          <w:tcPr>
            <w:tcW w:w="75" w:type="dxa"/>
            <w:tcBorders/>
            <w:vAlign w:val="center"/>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6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left"/>
              <w:rPr/>
            </w:pPr>
            <w:r>
              <w:rPr/>
              <w:t>Cash paid for operating leases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7,869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5,852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lease payments under operating leases as of June 30, 2026 were as follows:</w:t>
      </w:r>
    </w:p>
    <w:p>
      <w:pPr>
        <w:pStyle w:val="TextBody"/>
        <w:bidi w:val="0"/>
        <w:spacing w:before="0" w:after="0"/>
        <w:ind w:left="0" w:right="0" w:firstLine="720"/>
        <w:jc w:val="both"/>
        <w:rPr>
          <w:caps w:val="false"/>
          <w:smallCaps w:val="false"/>
        </w:rPr>
      </w:pPr>
      <w:r>
        <w:rPr>
          <w:caps w:val="false"/>
          <w:smallCaps w:val="false"/>
        </w:rPr>
        <w:t> </w:t>
      </w:r>
    </w:p>
    <w:tbl>
      <w:tblPr>
        <w:tblW w:w="4964" w:type="dxa"/>
        <w:jc w:val="left"/>
        <w:tblInd w:w="0" w:type="dxa"/>
        <w:tblLayout w:type="fixed"/>
        <w:tblCellMar>
          <w:top w:w="0" w:type="dxa"/>
          <w:left w:w="0" w:type="dxa"/>
          <w:bottom w:w="0" w:type="dxa"/>
          <w:right w:w="0" w:type="dxa"/>
        </w:tblCellMar>
      </w:tblPr>
      <w:tblGrid>
        <w:gridCol w:w="3920"/>
        <w:gridCol w:w="60"/>
        <w:gridCol w:w="61"/>
        <w:gridCol w:w="813"/>
        <w:gridCol w:w="110"/>
      </w:tblGrid>
      <w:tr>
        <w:trPr/>
        <w:tc>
          <w:tcPr>
            <w:tcW w:w="39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110" w:type="dxa"/>
            <w:tcBorders/>
            <w:vAlign w:val="center"/>
          </w:tcPr>
          <w:p>
            <w:pPr>
              <w:pStyle w:val="TableContents"/>
              <w:bidi w:val="0"/>
              <w:spacing w:before="0" w:after="283"/>
              <w:ind w:left="0" w:right="0" w:hanging="180"/>
              <w:jc w:val="left"/>
              <w:rPr/>
            </w:pPr>
            <w:r>
              <w:rPr/>
              <w:t> </w:t>
            </w:r>
          </w:p>
        </w:tc>
      </w:tr>
      <w:tr>
        <w:trPr/>
        <w:tc>
          <w:tcPr>
            <w:tcW w:w="392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Second half of 2026</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8,832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18,611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18,385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18,103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17,040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52,050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Total undiscounted cash flows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133,021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(22,425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920" w:type="dxa"/>
            <w:tcBorders/>
            <w:shd w:fill="CCEEFF" w:val="clear"/>
            <w:vAlign w:val="center"/>
          </w:tcPr>
          <w:p>
            <w:pPr>
              <w:pStyle w:val="TableContents"/>
              <w:bidi w:val="0"/>
              <w:spacing w:before="0" w:after="283"/>
              <w:jc w:val="left"/>
              <w:rPr/>
            </w:pPr>
            <w:r>
              <w:rPr/>
              <w:t>Present value of operating lease liabilities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110,596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shd w:fill="FFFFFF" w:val="clear"/>
            <w:vAlign w:val="center"/>
          </w:tcPr>
          <w:p>
            <w:pPr>
              <w:pStyle w:val="TableContents"/>
              <w:bidi w:val="0"/>
              <w:spacing w:before="0" w:after="283"/>
              <w:jc w:val="left"/>
              <w:rPr/>
            </w:pPr>
            <w:r>
              <w:rPr/>
              <w:t>Less: current obligation</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(13,065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920" w:type="dxa"/>
            <w:tcBorders/>
            <w:shd w:fill="CCEEFF" w:val="clear"/>
            <w:vAlign w:val="center"/>
          </w:tcPr>
          <w:p>
            <w:pPr>
              <w:pStyle w:val="TableContents"/>
              <w:bidi w:val="0"/>
              <w:spacing w:before="0" w:after="283"/>
              <w:jc w:val="left"/>
              <w:rPr/>
            </w:pPr>
            <w:r>
              <w:rPr/>
              <w:t>Long-term obligation at June 30, 2026</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CCEEFF" w:val="clear"/>
            <w:tcMar>
              <w:bottom w:w="28" w:type="dxa"/>
            </w:tcMar>
            <w:vAlign w:val="center"/>
          </w:tcPr>
          <w:p>
            <w:pPr>
              <w:pStyle w:val="TableContents"/>
              <w:bidi w:val="0"/>
              <w:spacing w:before="0" w:after="283"/>
              <w:jc w:val="right"/>
              <w:rPr/>
            </w:pPr>
            <w:r>
              <w:rPr/>
              <w:t>97,531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lessor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the buildings and related facilities (classified as property, plant and equipment) that it constructs on leased land to its customers under operating leases for terms ranging from one to twelve years, with an option to extend for an additional lease term. The lease contracts contain market review clauses in the event that the lessees exercise their options to extend. The lessees do not have bargain purchase options to acquire the leased assets at the expiry of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income relating to lease payments were as follows:</w:t>
      </w:r>
    </w:p>
    <w:p>
      <w:pPr>
        <w:pStyle w:val="TextBody"/>
        <w:bidi w:val="0"/>
        <w:spacing w:before="0" w:after="0"/>
        <w:ind w:left="0" w:right="0" w:firstLine="720"/>
        <w:jc w:val="both"/>
        <w:rPr>
          <w:caps w:val="false"/>
          <w:smallCaps w:val="false"/>
        </w:rPr>
      </w:pPr>
      <w:r>
        <w:rPr>
          <w:caps w:val="false"/>
          <w:smallCaps w:val="false"/>
        </w:rPr>
        <w:t> </w:t>
      </w:r>
    </w:p>
    <w:tbl>
      <w:tblPr>
        <w:tblW w:w="3818" w:type="dxa"/>
        <w:jc w:val="left"/>
        <w:tblInd w:w="0" w:type="dxa"/>
        <w:tblLayout w:type="fixed"/>
        <w:tblCellMar>
          <w:top w:w="0" w:type="dxa"/>
          <w:left w:w="0" w:type="dxa"/>
          <w:bottom w:w="0" w:type="dxa"/>
          <w:right w:w="0" w:type="dxa"/>
        </w:tblCellMar>
      </w:tblPr>
      <w:tblGrid>
        <w:gridCol w:w="2165"/>
        <w:gridCol w:w="60"/>
        <w:gridCol w:w="67"/>
        <w:gridCol w:w="625"/>
        <w:gridCol w:w="67"/>
        <w:gridCol w:w="67"/>
        <w:gridCol w:w="67"/>
        <w:gridCol w:w="625"/>
        <w:gridCol w:w="7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Periods ended </w:t>
              <w:br/>
              <w:t>June 30,</w:t>
            </w:r>
          </w:p>
        </w:tc>
        <w:tc>
          <w:tcPr>
            <w:tcW w:w="75" w:type="dxa"/>
            <w:tcBorders/>
            <w:vAlign w:val="center"/>
          </w:tcPr>
          <w:p>
            <w:pPr>
              <w:pStyle w:val="TableContents"/>
              <w:bidi w:val="0"/>
              <w:spacing w:before="0" w:after="283"/>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6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Lease income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2,225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1,848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analysis of lease payments receivable under operating leases of the buildings and related facilities was as follows:</w:t>
      </w:r>
    </w:p>
    <w:p>
      <w:pPr>
        <w:pStyle w:val="TextBody"/>
        <w:bidi w:val="0"/>
        <w:spacing w:before="0" w:after="0"/>
        <w:ind w:left="0" w:right="0" w:firstLine="720"/>
        <w:jc w:val="both"/>
        <w:rPr>
          <w:caps w:val="false"/>
          <w:smallCaps w:val="false"/>
        </w:rPr>
      </w:pPr>
      <w:r>
        <w:rPr>
          <w:caps w:val="false"/>
          <w:smallCaps w:val="false"/>
        </w:rPr>
        <w:t> </w:t>
      </w:r>
    </w:p>
    <w:tbl>
      <w:tblPr>
        <w:tblW w:w="4104" w:type="dxa"/>
        <w:jc w:val="left"/>
        <w:tblInd w:w="0" w:type="dxa"/>
        <w:tblLayout w:type="fixed"/>
        <w:tblCellMar>
          <w:top w:w="0" w:type="dxa"/>
          <w:left w:w="0" w:type="dxa"/>
          <w:bottom w:w="28" w:type="dxa"/>
          <w:right w:w="0" w:type="dxa"/>
        </w:tblCellMar>
      </w:tblPr>
      <w:tblGrid>
        <w:gridCol w:w="3095"/>
        <w:gridCol w:w="60"/>
        <w:gridCol w:w="70"/>
        <w:gridCol w:w="804"/>
        <w:gridCol w:w="75"/>
      </w:tblGrid>
      <w:tr>
        <w:trPr/>
        <w:tc>
          <w:tcPr>
            <w:tcW w:w="3095" w:type="dxa"/>
            <w:tcBorders>
              <w:bottom w:val="single" w:sz="12" w:space="0" w:color="000000"/>
            </w:tcBorders>
            <w:vAlign w:val="center"/>
          </w:tcPr>
          <w:p>
            <w:pPr>
              <w:pStyle w:val="TableContents"/>
              <w:bidi w:val="0"/>
              <w:spacing w:before="0" w:after="283"/>
              <w:jc w:val="left"/>
              <w:rPr>
                <w:b/>
              </w:rPr>
            </w:pPr>
            <w:r>
              <w:rPr>
                <w:b/>
              </w:rPr>
              <w:t>In thousands of USD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 xml:space="preserve">At </w:t>
              <w:br/>
              <w:t>June 30,</w:t>
              <w:br/>
              <w:t>2026</w:t>
            </w:r>
          </w:p>
        </w:tc>
        <w:tc>
          <w:tcPr>
            <w:tcW w:w="75" w:type="dxa"/>
            <w:tcBorders/>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pPr>
            <w:r>
              <w:rPr/>
              <w:t>Second half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2,188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pPr>
            <w:r>
              <w:rPr/>
              <w:t>4,329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4,275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pPr>
            <w:r>
              <w:rPr/>
              <w:t>4,207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2,941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pPr>
            <w:r>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pPr>
            <w:r>
              <w:rPr/>
              <w:t>2,250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95" w:type="dxa"/>
            <w:tcBorders/>
            <w:shd w:fill="CCEEFF" w:val="clear"/>
            <w:tcMar>
              <w:bottom w:w="0" w:type="dxa"/>
            </w:tcMar>
            <w:vAlign w:val="center"/>
          </w:tcPr>
          <w:p>
            <w:pPr>
              <w:pStyle w:val="TableContents"/>
              <w:bidi w:val="0"/>
              <w:spacing w:before="0" w:after="283"/>
              <w:jc w:val="left"/>
              <w:rPr/>
            </w:pPr>
            <w:r>
              <w:rPr/>
              <w:t>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804" w:type="dxa"/>
            <w:tcBorders>
              <w:bottom w:val="single" w:sz="12" w:space="0" w:color="000000"/>
            </w:tcBorders>
            <w:shd w:fill="CCEEFF" w:val="clear"/>
            <w:vAlign w:val="center"/>
          </w:tcPr>
          <w:p>
            <w:pPr>
              <w:pStyle w:val="TableContents"/>
              <w:bidi w:val="0"/>
              <w:spacing w:before="0" w:after="283"/>
              <w:jc w:val="right"/>
              <w:rPr/>
            </w:pPr>
            <w:r>
              <w:rPr/>
              <w:t>764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95" w:type="dxa"/>
            <w:tcBorders/>
            <w:shd w:fill="FFFFFF" w:val="clear"/>
            <w:tcMar>
              <w:bottom w:w="0" w:type="dxa"/>
            </w:tcMar>
            <w:vAlign w:val="center"/>
          </w:tcPr>
          <w:p>
            <w:pPr>
              <w:pStyle w:val="TableContents"/>
              <w:bidi w:val="0"/>
              <w:spacing w:before="0" w:after="283"/>
              <w:jc w:val="left"/>
              <w:rPr>
                <w:b/>
              </w:rPr>
            </w:pPr>
            <w:r>
              <w:rPr>
                <w:b/>
              </w:rPr>
              <w:t>Total undiscounted cash flows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FFFFFF" w:val="clear"/>
            <w:vAlign w:val="center"/>
          </w:tcPr>
          <w:p>
            <w:pPr>
              <w:pStyle w:val="TableContents"/>
              <w:bidi w:val="0"/>
              <w:spacing w:before="0" w:after="283"/>
              <w:jc w:val="left"/>
              <w:rPr/>
            </w:pPr>
            <w:r>
              <w:rPr/>
              <w:t> </w:t>
            </w:r>
          </w:p>
        </w:tc>
        <w:tc>
          <w:tcPr>
            <w:tcW w:w="804" w:type="dxa"/>
            <w:tcBorders>
              <w:bottom w:val="double" w:sz="10" w:space="0" w:color="000000"/>
            </w:tcBorders>
            <w:shd w:fill="FFFFFF" w:val="clear"/>
            <w:vAlign w:val="center"/>
          </w:tcPr>
          <w:p>
            <w:pPr>
              <w:pStyle w:val="TableContents"/>
              <w:bidi w:val="0"/>
              <w:spacing w:before="0" w:after="283"/>
              <w:jc w:val="right"/>
              <w:rPr>
                <w:b/>
              </w:rPr>
            </w:pPr>
            <w:r>
              <w:rPr>
                <w:b/>
              </w:rPr>
              <w:t>20,954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27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1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consist of the following:</w:t>
      </w:r>
    </w:p>
    <w:p>
      <w:pPr>
        <w:pStyle w:val="TextBody"/>
        <w:bidi w:val="0"/>
        <w:spacing w:before="0" w:after="0"/>
        <w:ind w:left="0" w:right="0" w:hanging="0"/>
        <w:jc w:val="both"/>
        <w:rPr>
          <w:caps w:val="false"/>
          <w:smallCaps w:val="false"/>
        </w:rPr>
      </w:pPr>
      <w:r>
        <w:rPr>
          <w:caps w:val="false"/>
          <w:smallCaps w:val="false"/>
        </w:rPr>
        <w:t> </w:t>
      </w:r>
    </w:p>
    <w:tbl>
      <w:tblPr>
        <w:tblW w:w="6989" w:type="dxa"/>
        <w:jc w:val="left"/>
        <w:tblInd w:w="0" w:type="dxa"/>
        <w:tblLayout w:type="fixed"/>
        <w:tblCellMar>
          <w:top w:w="0" w:type="dxa"/>
          <w:left w:w="0" w:type="dxa"/>
          <w:bottom w:w="28" w:type="dxa"/>
          <w:right w:w="0" w:type="dxa"/>
        </w:tblCellMar>
      </w:tblPr>
      <w:tblGrid>
        <w:gridCol w:w="4220"/>
        <w:gridCol w:w="60"/>
        <w:gridCol w:w="60"/>
        <w:gridCol w:w="980"/>
        <w:gridCol w:w="60"/>
        <w:gridCol w:w="60"/>
        <w:gridCol w:w="102"/>
        <w:gridCol w:w="1372"/>
        <w:gridCol w:w="75"/>
      </w:tblGrid>
      <w:tr>
        <w:trPr/>
        <w:tc>
          <w:tcPr>
            <w:tcW w:w="4220" w:type="dxa"/>
            <w:tcBorders>
              <w:bottom w:val="single" w:sz="12" w:space="0" w:color="000000"/>
            </w:tcBorders>
            <w:vAlign w:val="center"/>
          </w:tcPr>
          <w:p>
            <w:pPr>
              <w:pStyle w:val="TableContents"/>
              <w:bidi w:val="0"/>
              <w:spacing w:before="0" w:after="283"/>
              <w:ind w:left="0" w:right="0" w:hanging="180"/>
              <w:jc w:val="left"/>
              <w:rPr>
                <w:b/>
              </w:rPr>
            </w:pPr>
            <w:r>
              <w:rPr>
                <w:b/>
              </w:rPr>
              <w:t>In thousands of USD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b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At</w:t>
              <w:br/>
              <w:t xml:space="preserve">December 31, </w:t>
              <w:br/>
              <w:t>2025</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4220" w:type="dxa"/>
            <w:tcBorders/>
            <w:tcMar>
              <w:bottom w:w="0" w:type="dxa"/>
            </w:tcMar>
            <w:vAlign w:val="center"/>
          </w:tcPr>
          <w:p>
            <w:pPr>
              <w:pStyle w:val="TableContents"/>
              <w:bidi w:val="0"/>
              <w:spacing w:before="0" w:after="283"/>
              <w:jc w:val="both"/>
              <w:rPr>
                <w:b/>
              </w:rPr>
            </w:pPr>
            <w:r>
              <w:rPr>
                <w:b/>
              </w:rPr>
              <w:t>Short-term borrowings</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CCEEFF" w:val="clear"/>
            <w:tcMar>
              <w:bottom w:w="0" w:type="dxa"/>
            </w:tcMar>
            <w:vAlign w:val="center"/>
          </w:tcPr>
          <w:p>
            <w:pPr>
              <w:pStyle w:val="TableContents"/>
              <w:bidi w:val="0"/>
              <w:spacing w:before="0" w:after="283"/>
              <w:jc w:val="both"/>
              <w:rPr/>
            </w:pPr>
            <w:r>
              <w:rPr/>
              <w:t>Bank loans (e)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26,000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CCEEFF" w:val="clear"/>
            <w:tcMar>
              <w:bottom w:w="0" w:type="dxa"/>
            </w:tcMar>
            <w:vAlign w:val="center"/>
          </w:tcPr>
          <w:p>
            <w:pPr>
              <w:pStyle w:val="TableContents"/>
              <w:bidi w:val="0"/>
              <w:spacing w:before="0" w:after="283"/>
              <w:jc w:val="both"/>
              <w:rPr>
                <w:b/>
              </w:rPr>
            </w:pPr>
            <w:r>
              <w:rPr>
                <w:b/>
              </w:rPr>
              <w:t>Current portion of long-term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FFFFFF" w:val="clear"/>
            <w:tcMar>
              <w:bottom w:w="0" w:type="dxa"/>
            </w:tcMar>
            <w:vAlign w:val="center"/>
          </w:tcPr>
          <w:p>
            <w:pPr>
              <w:pStyle w:val="TableContents"/>
              <w:bidi w:val="0"/>
              <w:spacing w:before="0" w:after="283"/>
              <w:jc w:val="both"/>
              <w:rPr/>
            </w:pPr>
            <w:r>
              <w:rPr/>
              <w:t>Bank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13</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FFFFFF" w:val="clear"/>
            <w:tcMar>
              <w:bottom w:w="0" w:type="dxa"/>
            </w:tcMar>
            <w:vAlign w:val="center"/>
          </w:tcPr>
          <w:p>
            <w:pPr>
              <w:pStyle w:val="TableContents"/>
              <w:bidi w:val="0"/>
              <w:spacing w:before="0" w:after="283"/>
              <w:jc w:val="both"/>
              <w:rPr>
                <w:b/>
              </w:rPr>
            </w:pPr>
            <w:r>
              <w:rPr>
                <w:b/>
              </w:rPr>
              <w:t>Long-term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CCEEFF" w:val="clear"/>
            <w:tcMar>
              <w:bottom w:w="0" w:type="dxa"/>
            </w:tcMar>
            <w:vAlign w:val="center"/>
          </w:tcPr>
          <w:p>
            <w:pPr>
              <w:pStyle w:val="TableContents"/>
              <w:bidi w:val="0"/>
              <w:spacing w:before="0" w:after="283"/>
              <w:jc w:val="both"/>
              <w:rPr/>
            </w:pPr>
            <w:r>
              <w:rPr/>
              <w:t>November 2024 convertible senior notes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63,439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194,572</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FFFFFF" w:val="clear"/>
            <w:tcMar>
              <w:bottom w:w="0" w:type="dxa"/>
            </w:tcMar>
            <w:vAlign w:val="center"/>
          </w:tcPr>
          <w:p>
            <w:pPr>
              <w:pStyle w:val="TableContents"/>
              <w:bidi w:val="0"/>
              <w:spacing w:before="0" w:after="283"/>
              <w:jc w:val="both"/>
              <w:rPr/>
            </w:pPr>
            <w:r>
              <w:rPr/>
              <w:t>June 2025 convertible senior notes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364,912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364,045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CCEEFF" w:val="clear"/>
            <w:tcMar>
              <w:bottom w:w="0" w:type="dxa"/>
            </w:tcMar>
            <w:vAlign w:val="center"/>
          </w:tcPr>
          <w:p>
            <w:pPr>
              <w:pStyle w:val="TableContents"/>
              <w:bidi w:val="0"/>
              <w:spacing w:before="0" w:after="283"/>
              <w:jc w:val="both"/>
              <w:rPr/>
            </w:pPr>
            <w:r>
              <w:rPr/>
              <w:t>November 2025 convertible senior notes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389,023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388,098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FFFFFF" w:val="clear"/>
            <w:tcMar>
              <w:bottom w:w="0" w:type="dxa"/>
            </w:tcMar>
            <w:vAlign w:val="center"/>
          </w:tcPr>
          <w:p>
            <w:pPr>
              <w:pStyle w:val="TableContents"/>
              <w:bidi w:val="0"/>
              <w:spacing w:before="0" w:after="283"/>
              <w:jc w:val="both"/>
              <w:rPr/>
            </w:pPr>
            <w:r>
              <w:rPr/>
              <w:t>February 2026 convertible senior notes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364,109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CCEEFF" w:val="clear"/>
            <w:tcMar>
              <w:bottom w:w="0" w:type="dxa"/>
            </w:tcMar>
            <w:vAlign w:val="center"/>
          </w:tcPr>
          <w:p>
            <w:pPr>
              <w:pStyle w:val="TableContents"/>
              <w:bidi w:val="0"/>
              <w:spacing w:before="0" w:after="283"/>
              <w:jc w:val="both"/>
              <w:rPr/>
            </w:pPr>
            <w:r>
              <w:rPr/>
              <w:t>Bank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971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pPr>
            <w:r>
              <w:rPr/>
              <w:t>468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b/>
              </w:rPr>
            </w:pPr>
            <w:r>
              <w:rPr>
                <w:b/>
              </w:rPr>
              <w:t>Total long-term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1,182,454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shd w:fill="FFFFFF" w:val="clear"/>
            <w:vAlign w:val="center"/>
          </w:tcPr>
          <w:p>
            <w:pPr>
              <w:pStyle w:val="TableContents"/>
              <w:bidi w:val="0"/>
              <w:spacing w:before="0" w:after="283"/>
              <w:jc w:val="left"/>
              <w:rPr/>
            </w:pPr>
            <w:r>
              <w:rPr/>
              <w:t> </w:t>
            </w:r>
          </w:p>
        </w:tc>
        <w:tc>
          <w:tcPr>
            <w:tcW w:w="1372" w:type="dxa"/>
            <w:tcBorders>
              <w:bottom w:val="double" w:sz="10" w:space="0" w:color="000000"/>
            </w:tcBorders>
            <w:shd w:fill="FFFFFF" w:val="clear"/>
            <w:vAlign w:val="center"/>
          </w:tcPr>
          <w:p>
            <w:pPr>
              <w:pStyle w:val="TableContents"/>
              <w:bidi w:val="0"/>
              <w:spacing w:before="0" w:after="283"/>
              <w:jc w:val="right"/>
              <w:rPr>
                <w:b/>
              </w:rPr>
            </w:pPr>
            <w:r>
              <w:rPr>
                <w:b/>
              </w:rPr>
              <w:t>947,183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Instruments settled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issued a US$30.0 million promissory note on July 23, 2021. The promissory note is non-secured, bears an annual interest rate of 8%, matures on July 23, 2023 and provides the holder an option to convert all or any portion of the note into the ordinary shares of Bitdeer at US$0.0632 per share at any time from the issuance of the note to the second anniversary of the date of issuance. During the year ended December 31, 2023, the Group repaid US$7.0 million in principal and amended the promissory note to extend the maturity of the promissory note to July 21, 2025. In addition, to reflect the reverse recapitalization completed in April 2023, the shares of the promissory note is convertible into was changed from the ordinary shares of Bitdeer to the Class A ordinary shares of the Group, and the per-share conversion price was adjusted to US$7.3660 from US$0.0632. During the year ended December 31, 2024, the holder of promissory note converted principal amount of US$8.0 million for 1,086,070 Class A ordinary shares. Upon maturity in July 2025, the holder converted the remaining principal amount of US$15.0 million into 2,036,383 Class A ordinary shares, resulting in the full settlement of the promissory note.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amount was outstanding as of June 30, 2026 and December 31, 2025. For the six months ended June 30, 2025, the effective interest rate is at 8.11% with interest expense on coupon interest amounting to US$0.6 million. No interest expense was recognized for the six months ended June 30, 2026.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2024 convertible senior notes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2024, the Group issued US$172.5 million in aggregate principal amount of 8.5% Convertible Senior Notes due 2029 (the “August 2024 convertible senior notes”). The August 2024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effectively junior to any of the Group’s secured indebtedness to the extent of the value of the assets securing such indebtedness and structurally junior to all indebtedness and other liabilities, including trade payables, of the Group’s subsidiaries.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August 2024 convertible senior notes accrued interest at a rate of 8.5% per annum, payable semi-annually in arrears on February 15 and August 15 of each year, beginning on February 15, 2025, and were scheduled to mature on August 15, 2029, unless earlier repurchased, redeemed or converted. At any time prior to the close of business on the second scheduled trading day immediately preceding the maturity date, holders were able to convert their notes at their option, and the Group was able to settle the conversion using shares, cash or a combination thereof at its own discretion. The conversion rate was initially 117.0207 Class A ordinary shares per US$1,000 principal amount, and the number of Class A ordinary shares issuable upon conversion was subject to customary adjustments upon the occurrence of certain events, such as the interest make-whole conversion rate adjustment, or conversion upon a make-whole fundamental change, as defined in the agreement of the August 2024 convertible senior notes.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interest make-whole conversion rate adjustment, holders were able to convert at any time during the period from, and including, the date that is six months after the last date of original issuance of the notes until the close of business on the business day immediately preceding August 1, 2027 (other than a conversion in connection with a make-whole fundamental change, a cleanup redemption or a tax redemption). During that period, the Group would increase the conversion rate per US$1,000 principal amount of notes to be converted by a number of additional Class A ordinary shares.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was able to call the August 2024 convertible senior notes for redemption based on the terms and conditions specified in the agreement at a redemption price equal to the principal amount of the notes to be redeemed, plus any accrued and unpaid interest. In addition, upon the occurrence of a fundamental change, as defined in the agreement, holders were able to require the Group to repurchase their notes at a cash repurchase price equal to the principal amount of the notes to be repurchased, plus accrued and unpaid interest.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in the August 2024 convertible senior notes met the criteria to be separated from the host contract and were recognized separately at fair value. The total proceeds received were first allocated to the fair value of the derivative liability, and the remaining proceeds were allocated to the host. The host was subsequently measured at amortized cost, and the derivative liability was measured at fair value, with changes in fair value recorded in the consolidated statements of operations and comprehensive income (loss). Unamortized debt discount and transaction costs were reported as a direct deduction from the face amount of the August 2024 convertible senior notes. The August 2024 convertible senior notes were fully settled during the year ended December 31, 2025 and no amount was outstanding as of June 30, 2026 and December 31, 2025.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were 3 types of settlements of the August 2024 convertible senior notes:</w:t>
      </w:r>
    </w:p>
    <w:p>
      <w:pPr>
        <w:pStyle w:val="TextBody"/>
        <w:bidi w:val="0"/>
        <w:spacing w:before="0" w:after="0"/>
        <w:ind w:left="720" w:right="0" w:firstLine="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 holders of the August 2024 convertible senior notes with aggregate principal amount of approximately US$14.4 million have converted their notes, in accordance with the terms specified in the August 2024 convertible senior notes, into 1,968,760 of the Group’s Class A ordinary shares, with no cash consideration.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 holders of the August 2024 convertible senior notes with aggregate principal amount of approximately US$75.7 million have exchanged their notes into 8,093,427 of the Group’s Class A ordinary shares and cash consideration of US$36.1 million, which included accrued interest. The exchange of notes was accounted as an extinguishment of the August 2024 convertible senior notes and resulted in a loss on extinguishment of convertible notes of US$16.2 million, included in Other losses, net in the consolidated statements of operations and comprehensive income (loss).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Group redeemed the remaining outstanding US$7.7 million aggregate principal amount of its August 2024 convertible senior notes at a conversion rate of 127.9743 Class A ordinary shares per US$1,000 principal amount, adjusted pursuant to the agreement for a total of 985,400 Class A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a summary of the interest expense arising from August 2024 convertible senior notes.</w:t>
      </w:r>
    </w:p>
    <w:p>
      <w:pPr>
        <w:pStyle w:val="TextBody"/>
        <w:bidi w:val="0"/>
        <w:spacing w:before="0" w:after="0"/>
        <w:ind w:left="709" w:right="0" w:firstLine="709"/>
        <w:jc w:val="both"/>
        <w:rPr>
          <w:caps w:val="false"/>
          <w:smallCaps w:val="false"/>
        </w:rPr>
      </w:pPr>
      <w:r>
        <w:rPr>
          <w:caps w:val="false"/>
          <w:smallCaps w:val="false"/>
        </w:rPr>
        <w:t> </w:t>
      </w:r>
    </w:p>
    <w:tbl>
      <w:tblPr>
        <w:tblW w:w="6829" w:type="dxa"/>
        <w:jc w:val="left"/>
        <w:tblInd w:w="0" w:type="dxa"/>
        <w:tblLayout w:type="fixed"/>
        <w:tblCellMar>
          <w:top w:w="0" w:type="dxa"/>
          <w:left w:w="0" w:type="dxa"/>
          <w:bottom w:w="0" w:type="dxa"/>
          <w:right w:w="0" w:type="dxa"/>
        </w:tblCellMar>
      </w:tblPr>
      <w:tblGrid>
        <w:gridCol w:w="4640"/>
        <w:gridCol w:w="60"/>
        <w:gridCol w:w="193"/>
        <w:gridCol w:w="307"/>
        <w:gridCol w:w="126"/>
        <w:gridCol w:w="126"/>
        <w:gridCol w:w="126"/>
        <w:gridCol w:w="1176"/>
        <w:gridCol w:w="7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464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Coupon interest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3,841</w:t>
            </w:r>
          </w:p>
        </w:tc>
        <w:tc>
          <w:tcPr>
            <w:tcW w:w="75"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both"/>
              <w:rPr/>
            </w:pPr>
            <w:r>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FFFFFF" w:val="clear"/>
            <w:tcMar>
              <w:bottom w:w="28" w:type="dxa"/>
            </w:tcMar>
            <w:vAlign w:val="center"/>
          </w:tcPr>
          <w:p>
            <w:pPr>
              <w:pStyle w:val="TableContents"/>
              <w:bidi w:val="0"/>
              <w:spacing w:before="0" w:after="283"/>
              <w:jc w:val="right"/>
              <w:rPr/>
            </w:pPr>
            <w:r>
              <w:rPr/>
              <w:t>2,627</w:t>
            </w:r>
          </w:p>
        </w:tc>
        <w:tc>
          <w:tcPr>
            <w:tcW w:w="75"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interest expense is capitalized into property, plant and equipment.</w:t>
            </w:r>
          </w:p>
        </w:tc>
      </w:tr>
    </w:tbl>
    <w:p>
      <w:pPr>
        <w:pStyle w:val="TextBody"/>
        <w:bidi w:val="0"/>
        <w:spacing w:before="0" w:after="0"/>
        <w:ind w:left="720" w:right="0" w:hanging="36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45"/>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33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November 2024 convertible senior notes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Group issued US$400.0 million in aggregate principal amount of 5.25% Convertible Senior Notes due 2029 (the “November 2024 convertible senior notes”). The November 2024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the August 2024 convertible senior note, and effectively junior to any of the Group’s secured indebtedness to the extent of the value of the assets securing such indebtedness and structurally junior to all indebtedness and other liabilities, including trade payables, of the Group’s subsidiaries. In connection with the issuance of the November 2024 convertible senior notes, the Group entered into a zero-strike call option transaction (“Zero-Strike Call Option”) with Barclays Bank PLC (“Barclays”) to purchase an option to call for 14,298,480 Class A ordinary shares of the Group for approximately US$160.0 million in November 2024. The Zero-Strike Call Option expires on the 41st non-disrupted day following December 1, 2029, or earlier if Barclays requests early settlement. The settlement method of the Zero-Strike Call Option is physical settlement. The Group will receive the fixed number of Class A ordinary shares determined at the commencement date of the transaction upon expiration or for the portion thereof being settled early, provided that the Zero-Strike Call Option is exercised. The economic substance of the Zero-Strike Call Option is the same as a traditional forward repurchase contract. Because the Zero-Strike Call Option requires physical settlement, it is classified as a reduction from equity and included in additional paid-in capital without any subsequent remeasurement. If Zero-Strike Call Option is not yet exercised before expiration, the initial premium paid, which is recorded as a reduction from equity, will remain in equity. </w:t>
      </w:r>
    </w:p>
    <w:p>
      <w:pPr>
        <w:pStyle w:val="TextBody"/>
        <w:bidi w:val="0"/>
        <w:spacing w:before="0" w:after="0"/>
        <w:ind w:left="709"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November 2024 convertible senior notes accrue interest at a rate of 5.25% per annum, payable semi-annually in arrears on June 1 and December 1 of each year, beginning on June 1, 2025. The November 2024 convertible senior notes will mature on December 1, 2029, unless earlier repurchased, redeemed or converted. Holders may convert their November 2024 convertible senior notes at their option upon satisfaction of certain conditions as defined in the conversion privilege section of the agreement of the November 2024 convertible senior notes, or any time after September 1, 2029, and prior to the close of business on the second scheduled trading day immediately preceding the maturity date. The Group is able to settle the conversion using shares, cash or a combination at its own discretion. The initial conversion rate is 62.7126 Class A ordinary shares per US$1,000 principal amount of November 2024 convertible senior notes, and the number of Class A ordinary shares issuable upon conversion is subject to customary adjustments upon the occurrence of certain events, such as the conversion upon a make-whole fundamental change, as defined in the agreement of the November 2024 convertible senior notes.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6, 2027 (the “specified repurchase date”), the holders of the November 2024 convertible senior notes may require the Group to repurchase all or a portion of their notes for cash, in principal amounts of US$1,000 or any integral multiple thereof. The repurchase price will be equal to 100% of the principal amount of the notes being repurchased, plus accrued and unpaid interest up to, but excluding, the specified repurchase date.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November 2024 convertible senior notes based on the terms and conditions specified in the agreement of the November 2024 convertible senior notes at a redemption price equal to the principal amount of the notes to be redeemed, plus any accrued and unpaid interest. In addition, upon the occurrence of a fundamental change, as defined in the agreement of the November 2024 convertible senior notes, holders may require the Group to repurchase their November 2024 convertible senior notes at a cash repurchase price equal to the principal amount of the November 2024 convertible senior notes to be repurchased, plus accrued and unpaid interest.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November 2024 convertible senior notes do not meet the criteria to be separated from the host contract. The conversion feature is eligible for an exception from derivative accounting because it is indexed to the Group’s own stock. Additionally, the equity classification requirements under ASC 815-40-25 are met. Therefore, the conversion feature should not be bifurcated. The convertible note is measured at amortized cost and is classified as noncurrent liabilities as of June 30, 2026 and December 31, 2025.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discount and transaction costs were reported as a direct deduction from the face amount of the November 2024 convertible senior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the Group repurchased an outstanding US$200.0 million aggregate principal amount of its November 2024 convertible senior notes by way of cash consideration of US$119.3 million and 10,661,140 Class A ordinary shares through the registered direct offering.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Group repurchased US$135.0 million aggregate principal amount of its November 2024 convertible senior notes for cash consideration of US$94.5 million in privately negotiated transactions, funded from the proceeds of the February 2026 convertible senior notes offering and a concurrent registered direct offering of 5,503,030 Class A ordinary shares at US$7.94 per share. The transaction was accounted for as an extinguishment of the November 2024 convertible senior notes, resulting in a loss on extinguishment of convertible notes of US$5.4 million, included in Other losses, net in the consolidated statements of operations and comprehensive income (loss). The carrying value of the notes extinguished was US$131.5 million.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November 2024 convertible senior notes for the six months ended June 30, 2026:</w:t>
      </w:r>
    </w:p>
    <w:p>
      <w:pPr>
        <w:pStyle w:val="TextBody"/>
        <w:bidi w:val="0"/>
        <w:spacing w:before="0" w:after="0"/>
        <w:ind w:left="720" w:right="0" w:firstLine="720"/>
        <w:jc w:val="both"/>
        <w:rPr>
          <w:caps w:val="false"/>
          <w:smallCaps w:val="false"/>
        </w:rPr>
      </w:pPr>
      <w:r>
        <w:rPr>
          <w:caps w:val="false"/>
          <w:smallCaps w:val="false"/>
        </w:rPr>
        <w:t> </w:t>
      </w:r>
    </w:p>
    <w:tbl>
      <w:tblPr>
        <w:tblW w:w="3705" w:type="dxa"/>
        <w:jc w:val="left"/>
        <w:tblInd w:w="0" w:type="dxa"/>
        <w:tblLayout w:type="fixed"/>
        <w:tblCellMar>
          <w:top w:w="0" w:type="dxa"/>
          <w:left w:w="0" w:type="dxa"/>
          <w:bottom w:w="28" w:type="dxa"/>
          <w:right w:w="0" w:type="dxa"/>
        </w:tblCellMar>
      </w:tblPr>
      <w:tblGrid>
        <w:gridCol w:w="2600"/>
        <w:gridCol w:w="60"/>
        <w:gridCol w:w="60"/>
        <w:gridCol w:w="875"/>
        <w:gridCol w:w="110"/>
      </w:tblGrid>
      <w:tr>
        <w:trPr/>
        <w:tc>
          <w:tcPr>
            <w:tcW w:w="2600" w:type="dxa"/>
            <w:tcBorders>
              <w:bottom w:val="single" w:sz="12" w:space="0" w:color="000000"/>
            </w:tcBorders>
            <w:vAlign w:val="center"/>
          </w:tcPr>
          <w:p>
            <w:pPr>
              <w:pStyle w:val="TableContents"/>
              <w:bidi w:val="0"/>
              <w:spacing w:before="0" w:after="283"/>
              <w:jc w:val="left"/>
              <w:rPr>
                <w:b/>
              </w:rPr>
            </w:pPr>
            <w:r>
              <w:rPr>
                <w:b/>
              </w:rPr>
              <w:t>In thousands of USD</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Balance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194,572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Amortized debt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338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Debt extinguishment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(131,471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600" w:type="dxa"/>
            <w:tcBorders/>
            <w:shd w:fill="FFFFFF" w:val="clear"/>
            <w:tcMar>
              <w:bottom w:w="0" w:type="dxa"/>
            </w:tcMar>
            <w:vAlign w:val="center"/>
          </w:tcPr>
          <w:p>
            <w:pPr>
              <w:pStyle w:val="TableContents"/>
              <w:bidi w:val="0"/>
              <w:spacing w:before="0" w:after="283"/>
              <w:jc w:val="left"/>
              <w:rPr/>
            </w:pPr>
            <w:r>
              <w:rPr/>
              <w:t>Balance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63,439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fair value of the convertible debt instrument was US$80.1 million and US$200.6 million, respectively, as of June 30, 2026 and December 31, 2025. The following provides a summary of the interest expense arising from November 2024 convertible senior notes. </w:t>
      </w:r>
    </w:p>
    <w:p>
      <w:pPr>
        <w:pStyle w:val="TextBody"/>
        <w:bidi w:val="0"/>
        <w:spacing w:before="0" w:after="0"/>
        <w:ind w:left="720" w:right="0" w:firstLine="720"/>
        <w:jc w:val="both"/>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4640"/>
        <w:gridCol w:w="60"/>
        <w:gridCol w:w="76"/>
        <w:gridCol w:w="711"/>
        <w:gridCol w:w="76"/>
        <w:gridCol w:w="76"/>
        <w:gridCol w:w="76"/>
        <w:gridCol w:w="863"/>
        <w:gridCol w:w="75"/>
      </w:tblGrid>
      <w:tr>
        <w:trPr/>
        <w:tc>
          <w:tcPr>
            <w:tcW w:w="46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both"/>
              <w:rPr/>
            </w:pPr>
            <w:r>
              <w:rPr/>
              <w:t>Coupon interest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2,848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10,500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40" w:type="dxa"/>
            <w:tcBorders/>
            <w:shd w:fill="FFFFFF" w:val="clear"/>
            <w:vAlign w:val="center"/>
          </w:tcPr>
          <w:p>
            <w:pPr>
              <w:pStyle w:val="TableContents"/>
              <w:bidi w:val="0"/>
              <w:spacing w:before="0" w:after="283"/>
              <w:jc w:val="both"/>
              <w:rPr/>
            </w:pPr>
            <w:r>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FFFFFF" w:val="clear"/>
            <w:tcMar>
              <w:bottom w:w="28" w:type="dxa"/>
            </w:tcMar>
            <w:vAlign w:val="center"/>
          </w:tcPr>
          <w:p>
            <w:pPr>
              <w:pStyle w:val="TableContents"/>
              <w:bidi w:val="0"/>
              <w:spacing w:before="0" w:after="283"/>
              <w:jc w:val="right"/>
              <w:rPr/>
            </w:pPr>
            <w:r>
              <w:rPr/>
              <w:t>338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3" w:type="dxa"/>
            <w:tcBorders>
              <w:bottom w:val="single" w:sz="12" w:space="0" w:color="000000"/>
            </w:tcBorders>
            <w:shd w:fill="FFFFFF" w:val="clear"/>
            <w:tcMar>
              <w:bottom w:w="28" w:type="dxa"/>
            </w:tcMar>
            <w:vAlign w:val="center"/>
          </w:tcPr>
          <w:p>
            <w:pPr>
              <w:pStyle w:val="TableContents"/>
              <w:bidi w:val="0"/>
              <w:spacing w:before="0" w:after="283"/>
              <w:jc w:val="right"/>
              <w:rPr/>
            </w:pPr>
            <w:r>
              <w:rPr/>
              <w:t>971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3,186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985" w:type="dxa"/>
        <w:jc w:val="left"/>
        <w:tblInd w:w="0" w:type="dxa"/>
        <w:tblLayout w:type="fixed"/>
        <w:tblCellMar>
          <w:top w:w="0" w:type="dxa"/>
          <w:left w:w="0" w:type="dxa"/>
          <w:bottom w:w="0" w:type="dxa"/>
          <w:right w:w="0" w:type="dxa"/>
        </w:tblCellMar>
      </w:tblPr>
      <w:tblGrid>
        <w:gridCol w:w="260"/>
        <w:gridCol w:w="67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interest expense is capitalized into property, plant and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245"/>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29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June 2025 convertible senior notes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Group issued US$375.0 million in aggregate principal amount of 4.875% Convertible Senior Notes due 2031 (the “June 2025 convertible senior notes”). The June 2025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other convertible senior notes issued by the Group from time to time, effectively junior to any of the Group’s secured indebtedness to the extent of the value of the assets securing such indebtedness and structurally junior to all indebtedness and other liabilities, including trade payables, of the Group’s subsidiaries. In connection with the issuance of the June 2025 convertible senior notes, the Group entered into a Zero-Strike Call Option with Barclays to purchase an option to call for 10,205,300 Class A ordinary shares of the Group for approximately US$129.6 million in June 2025. The Zero-Strike Call Option expires on the 41st non-disrupted day following July 1, 2031, or earlier if Barclays requests early settlement. The settlement method of the Zero-Strike Call Option is physical settlement. The Group will receive the fixed number of Class A ordinary shares determined at the commencement date of the transaction upon expiration or for the portion thereof being settled early, provided that the Zero-Strike Call Option is exercised. The economic substance of the Zero-Strike Call Option is the same as a traditional forward repurchase contract. Because the Zero-Strike Call Option requires physical settlement, it is classified as a reduction from equity and included in additional paid-in capital without any subsequent remeasurement. If Zero-Strike Call Option is not yet exercised before expiration, the initial premium paid, which is recorded as a reduction from equity, will remain in equity.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June 2025 convertible senior notes accrue interest at a rate of 4.875% per annum, payable semi-annually in arrears on January 1 and July 1 of each year, beginning on January 1, 2026. The June 2025 convertible senior notes will mature on July 1, 2031, unless earlier repurchased, redeemed or converted. Holders may convert their June 2025 convertible senior notes at their option upon satisfaction of certain conditions as defined in the conversion privilege section of the agreement of the June 2025 convertible senior notes, or any time after April 1, 2031, and prior to the close of business on the second scheduled trading day immediately preceding the maturity date. The Group is able to settle the conversion using shares, cash or a combination at its own discretion. The initial conversion rate is 62.9921 Class A ordinary shares per US$1,000 principal amount of June 2025 convertible senior notes, and the number of Class A ordinary shares issuable upon conversion is subject to customary adjustments upon the occurrence of certain events, such as the conversion upon a make-whole fundamental change, as defined in the agreement of the June 2025 convertible senior notes.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6, 2029 (the “specified repurchase date”), the holders of the June 2025 convertible senior notes may require the Group to repurchase all or a portion of their notes for cash, in principal amounts of US$1,000 or any integral multiple thereof. The repurchase price will be equal to 100% of the principal amount of the notes being repurchased, plus accrued and unpaid interest up to, but excluding, the specified repurchase date.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June 2025 convertible senior notes based on the terms and conditions specified in the agreement of the June 2025 convertible senior notes at a redemption price equal to the principal amount of the notes to be redeemed, plus any accrued and unpaid interest. In addition, upon the occurrence of a fundamental change, as defined in the agreement of the June 2025 convertible senior notes, holders may require the Group to repurchase their June 2025 convertible senior notes at a cash repurchase price equal to the principal amount of the June 2025 convertible senior notes to be repurchased, plus accrued and unpaid interest.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June 2025 convertible senior notes do not meet the criteria to be separated from the host contract. The conversion feature is eligible for an exception from derivative accounting because it is indexed to the Group’s own stock. Additionally, the equity classification requirements under ASC 815-40-25 are met. Therefore, the conversion feature should not be bifurcated. The convertible note is measured at amortized cost and is classified as noncurrent liabilities as of June 30,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debt discount and transaction costs were reported as a direct deduction from the face amount of the June 2025 convertible senior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June 2025 convertible senior notes for the six months ended June 30, 2026:</w:t>
      </w:r>
    </w:p>
    <w:p>
      <w:pPr>
        <w:pStyle w:val="TextBody"/>
        <w:bidi w:val="0"/>
        <w:spacing w:before="0" w:after="0"/>
        <w:ind w:left="720" w:right="0" w:firstLine="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28" w:type="dxa"/>
          <w:right w:w="0" w:type="dxa"/>
        </w:tblCellMar>
      </w:tblPr>
      <w:tblGrid>
        <w:gridCol w:w="2600"/>
        <w:gridCol w:w="60"/>
        <w:gridCol w:w="60"/>
        <w:gridCol w:w="800"/>
        <w:gridCol w:w="75"/>
      </w:tblGrid>
      <w:tr>
        <w:trPr/>
        <w:tc>
          <w:tcPr>
            <w:tcW w:w="2600" w:type="dxa"/>
            <w:tcBorders>
              <w:bottom w:val="single" w:sz="12" w:space="0" w:color="000000"/>
            </w:tcBorders>
            <w:vAlign w:val="center"/>
          </w:tcPr>
          <w:p>
            <w:pPr>
              <w:pStyle w:val="TableContents"/>
              <w:bidi w:val="0"/>
              <w:spacing w:before="0" w:after="283"/>
              <w:ind w:left="0" w:right="0" w:hanging="180"/>
              <w:jc w:val="left"/>
              <w:rPr>
                <w:b/>
              </w:rPr>
            </w:pPr>
            <w:r>
              <w:rPr>
                <w:b/>
              </w:rPr>
              <w:t>In thousands of USD</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Balance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364,045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Amortized debt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867</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Balance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364,912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fair value of the convertible debt instrument was US$455.5 million and US$362.3 million, respectively, as of June 30, 2026 and December 31, 2025. The following provides a summary of the interest expense arising from June 2025 convertible senior notes. </w:t>
      </w:r>
    </w:p>
    <w:p>
      <w:pPr>
        <w:pStyle w:val="TextBody"/>
        <w:bidi w:val="0"/>
        <w:spacing w:before="0" w:after="0"/>
        <w:ind w:left="720" w:right="0" w:firstLine="720"/>
        <w:jc w:val="both"/>
        <w:rPr>
          <w:caps w:val="false"/>
          <w:smallCaps w:val="false"/>
        </w:rPr>
      </w:pPr>
      <w:r>
        <w:rPr>
          <w:caps w:val="false"/>
          <w:smallCaps w:val="false"/>
        </w:rPr>
        <w:t> </w:t>
      </w:r>
    </w:p>
    <w:tbl>
      <w:tblPr>
        <w:tblW w:w="6651" w:type="dxa"/>
        <w:jc w:val="left"/>
        <w:tblInd w:w="0" w:type="dxa"/>
        <w:tblLayout w:type="fixed"/>
        <w:tblCellMar>
          <w:top w:w="0" w:type="dxa"/>
          <w:left w:w="0" w:type="dxa"/>
          <w:bottom w:w="0" w:type="dxa"/>
          <w:right w:w="0" w:type="dxa"/>
        </w:tblCellMar>
      </w:tblPr>
      <w:tblGrid>
        <w:gridCol w:w="4640"/>
        <w:gridCol w:w="60"/>
        <w:gridCol w:w="86"/>
        <w:gridCol w:w="983"/>
        <w:gridCol w:w="86"/>
        <w:gridCol w:w="86"/>
        <w:gridCol w:w="86"/>
        <w:gridCol w:w="549"/>
        <w:gridCol w:w="75"/>
      </w:tblGrid>
      <w:tr>
        <w:trPr/>
        <w:tc>
          <w:tcPr>
            <w:tcW w:w="46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both"/>
              <w:rPr/>
            </w:pPr>
            <w:r>
              <w:rPr/>
              <w:t>Coupon interest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9,141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406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40" w:type="dxa"/>
            <w:tcBorders/>
            <w:shd w:fill="FFFFFF" w:val="clear"/>
            <w:vAlign w:val="center"/>
          </w:tcPr>
          <w:p>
            <w:pPr>
              <w:pStyle w:val="TableContents"/>
              <w:bidi w:val="0"/>
              <w:spacing w:before="0" w:after="283"/>
              <w:jc w:val="both"/>
              <w:rPr/>
            </w:pPr>
            <w:r>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bidi w:val="0"/>
              <w:spacing w:before="0" w:after="283"/>
              <w:jc w:val="right"/>
              <w:rPr/>
            </w:pPr>
            <w:r>
              <w:rPr/>
              <w:t>867</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9"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interest expense is capitalized into property, plant and equipment.</w:t>
            </w:r>
          </w:p>
        </w:tc>
      </w:tr>
    </w:tbl>
    <w:p>
      <w:pPr>
        <w:pStyle w:val="TextBody"/>
        <w:bidi w:val="0"/>
        <w:spacing w:before="0" w:after="0"/>
        <w:ind w:left="720" w:right="0" w:hanging="36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23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33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November 2025 convertible senior notes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2025, the Group issued US$400.0 million in aggregate principal amount of 4.00% Convertible Senior Notes due 2031 (the “November 2025 convertible senior notes”). The November 2025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other convertible senior notes issued by the Group from time to time, effectively junior to any of the Group’s secured indebtedness to the extent of the value of the assets securing such indebtedness and structurally junior to all indebtedness and other liabilities, including trade payables, of the Group’s subsidiaries.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November 2025 convertible senior notes accrue interest at a rate of 4.00% per annum, payable semi-annually in arrears on May 15 and November 15 of each year, beginning on May 15, 2026. The November 2025 convertible senior notes will mature on November 15, 2031, unless earlier repurchased, redeemed or converted. Holders may convert their November 2025 convertible senior notes at their option upon satisfaction of certain conditions as defined in the conversion privilege section of the agreement of the November 2025 convertible senior notes, or any time after August 15, 2031, and prior to the close of business on the second scheduled trading day immediately preceding the maturity date. The Group is able to settle the conversion using shares, cash or a combination at its own discretion. The initial conversion rate is 56.2635 Class A ordinary shares per US$1,000 principal amount of November 2025 convertible senior notes, and the number of Class A ordinary shares issuable upon conversion is subject to customary adjustments upon the occurrence of certain events, such as the conversion upon a make-whole fundamental change, as defined in the agreement of the November 2025 convertible senior notes.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20, 2029 (the “specified repurchase date”), the holders of the November 2025 convertible senior notes may require the Group to repurchase all or a portion of their notes for cash, in principal amounts of US$1,000 or any integral multiple thereof. The repurchase price will be equal to 100% of the principal amount of the notes being repurchased, plus accrued and unpaid interest up to, but excluding, the specified repurchase date.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November 2025 convertible senior notes based on the terms and conditions specified in the agreement of the November 2025 convertible senior notes at a redemption price equal to the principal amount of the notes to be redeemed, plus any accrued and unpaid interest. In addition, upon the occurrence of a fundamental change, as defined in the agreement of the November 2025 convertible senior notes, holders may require the Group to repurchase their November 2025 convertible senior notes at a cash repurchase price equal to the principal amount of the November 2025 convertible senior notes to be repurchased, plus accrued and unpaid interest.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November 2025 convertible senior notes do not meet the criteria to be separated from the host contract. The conversion feature is eligible for an exception from derivative accounting because it is indexed to the Group’s own stock. Additionally, the equity classification requirements under ASC 815-40-25 are met. Therefore, the conversion feature should not be bifurcated. The convertible note is measured at amortized cost and is classified as noncurrent liabilities as of June 30, 2026 and December 31, 2025.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November 2025 convertible senior notes, the Group entered into privately negotiated capped call transactions with certain financial institutions. The capped call transactions are expected generally to reduce the potential dilution to the Group’s shareholders upon conversion of the November 2025 convertible senior notes and/or offset any cash payments the Group may be required to make in excess of the principal amount of converted November 2025 convertible senior notes, as applicable, with such reduction and/or offset subject to a cap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capped call transactions are separate transactions entered into by the Group and are not part of the terms of the November 2025 convertible senior notes. Holders of the November 2025 convertible senior notes do not have any rights with respect to the capped call transactions. The Group evaluated the capped call transactions under ASC 815, including the guidance on contracts indexed to, and potentially settled in, the Group’s own equity. The Group determined that the capped call transactions are indexed to the Group’s own shares and meet the criteria for classification in shareholders’ equity. Accordingly, the capped call transactions are not accounted for as derivative instruments. The premium paid of US$35.4 million for the capped call transactions was recorded as a reduction of additional paid-in capital within shareholders’ equity and will not be subsequently remeasured, provided the capped call transactions continue to meet the requirements for equity classification.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November 2025 convertible senior notes for the six months ended June 30, 2026:</w:t>
      </w:r>
    </w:p>
    <w:p>
      <w:pPr>
        <w:pStyle w:val="TextBody"/>
        <w:bidi w:val="0"/>
        <w:spacing w:before="0" w:after="0"/>
        <w:ind w:left="720" w:right="0" w:firstLine="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28" w:type="dxa"/>
          <w:right w:w="0" w:type="dxa"/>
        </w:tblCellMar>
      </w:tblPr>
      <w:tblGrid>
        <w:gridCol w:w="2600"/>
        <w:gridCol w:w="60"/>
        <w:gridCol w:w="60"/>
        <w:gridCol w:w="800"/>
        <w:gridCol w:w="75"/>
      </w:tblGrid>
      <w:tr>
        <w:trPr/>
        <w:tc>
          <w:tcPr>
            <w:tcW w:w="2600" w:type="dxa"/>
            <w:tcBorders>
              <w:bottom w:val="single" w:sz="12" w:space="0" w:color="000000"/>
            </w:tcBorders>
            <w:vAlign w:val="center"/>
          </w:tcPr>
          <w:p>
            <w:pPr>
              <w:pStyle w:val="TableContents"/>
              <w:bidi w:val="0"/>
              <w:spacing w:before="0" w:after="283"/>
              <w:ind w:left="0" w:right="0" w:hanging="180"/>
              <w:jc w:val="left"/>
              <w:rPr>
                <w:b/>
              </w:rPr>
            </w:pPr>
            <w:r>
              <w:rPr>
                <w:b/>
              </w:rPr>
              <w:t>In thousands of USD</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Balance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388,098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Amortized debt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925</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Balance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389,023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fair value of the convertible debt instrument was US$439.2 million and US$346.4 million, respectively, as of June 30, 2026 and December 31, 2025. The following provides a summary of the interest expense arising from November 2025 convertible senior notes. </w:t>
      </w:r>
    </w:p>
    <w:p>
      <w:pPr>
        <w:pStyle w:val="TextBody"/>
        <w:bidi w:val="0"/>
        <w:spacing w:before="0" w:after="0"/>
        <w:ind w:left="720" w:right="0" w:firstLine="720"/>
        <w:jc w:val="both"/>
        <w:rPr>
          <w:caps w:val="false"/>
          <w:smallCaps w:val="false"/>
        </w:rPr>
      </w:pPr>
      <w:r>
        <w:rPr>
          <w:caps w:val="false"/>
          <w:smallCaps w:val="false"/>
        </w:rPr>
        <w:t> </w:t>
      </w:r>
    </w:p>
    <w:tbl>
      <w:tblPr>
        <w:tblW w:w="6829" w:type="dxa"/>
        <w:jc w:val="left"/>
        <w:tblInd w:w="0" w:type="dxa"/>
        <w:tblLayout w:type="fixed"/>
        <w:tblCellMar>
          <w:top w:w="0" w:type="dxa"/>
          <w:left w:w="0" w:type="dxa"/>
          <w:bottom w:w="0" w:type="dxa"/>
          <w:right w:w="0" w:type="dxa"/>
        </w:tblCellMar>
      </w:tblPr>
      <w:tblGrid>
        <w:gridCol w:w="4640"/>
        <w:gridCol w:w="60"/>
        <w:gridCol w:w="126"/>
        <w:gridCol w:w="1176"/>
        <w:gridCol w:w="126"/>
        <w:gridCol w:w="126"/>
        <w:gridCol w:w="193"/>
        <w:gridCol w:w="307"/>
        <w:gridCol w:w="75"/>
      </w:tblGrid>
      <w:tr>
        <w:trPr/>
        <w:tc>
          <w:tcPr>
            <w:tcW w:w="46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both"/>
              <w:rPr/>
            </w:pPr>
            <w:r>
              <w:rPr/>
              <w:t>Coupon interest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8,000</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40" w:type="dxa"/>
            <w:tcBorders/>
            <w:shd w:fill="FFFFFF" w:val="clear"/>
            <w:vAlign w:val="center"/>
          </w:tcPr>
          <w:p>
            <w:pPr>
              <w:pStyle w:val="TableContents"/>
              <w:bidi w:val="0"/>
              <w:spacing w:before="0" w:after="283"/>
              <w:jc w:val="both"/>
              <w:rPr/>
            </w:pPr>
            <w:r>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FFFFFF" w:val="clear"/>
            <w:tcMar>
              <w:bottom w:w="28" w:type="dxa"/>
            </w:tcMar>
            <w:vAlign w:val="center"/>
          </w:tcPr>
          <w:p>
            <w:pPr>
              <w:pStyle w:val="TableContents"/>
              <w:bidi w:val="0"/>
              <w:spacing w:before="0" w:after="283"/>
              <w:jc w:val="right"/>
              <w:rPr/>
            </w:pPr>
            <w:r>
              <w:rPr/>
              <w:t>925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8,925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60"/>
        <w:gridCol w:w="67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interest expense is capitalized into property, plant and equipment.</w:t>
            </w:r>
          </w:p>
        </w:tc>
      </w:tr>
    </w:tbl>
    <w:p>
      <w:pPr>
        <w:pStyle w:val="TextBody"/>
        <w:bidi w:val="0"/>
        <w:spacing w:before="0" w:after="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45"/>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32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February 2026 convertible senior notes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2026, the Group issued US$375.0 million in aggregate principal amount of 5.00% Convertible Senior Notes due 2032 (the “February 2026 convertible senior notes”). The February 2026 convertible senior notes are senior and unsecured obligations of the Group. The notes rank senior in right of payment to all of the Group’s indebtedness that is expressly subordinated in right of payment to the notes, equal in right of payment with all of the Group’s liabilities that are not so subordinated, including other convertible senior notes issued by the Group from time to time, effectively junior to any of the Group’s secured indebtedness to the extent of the value of the assets securing such indebtedness and structurally junior to all indebtedness and other liabilities, including trade payables, of the Group’s subsidiaries.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February 2026 convertible senior notes accrue interest at a rate of 5.00% per annum, payable semi-annually in arrears on March 1 and September 1 of each year, beginning on September 1, 2026. The February 2026 convertible senior notes will mature on March 1, 2032, unless earlier repurchased, redeemed or converted. Holders may convert their February 2026 convertible senior notes at their option upon satisfaction of certain conditions as defined in the conversion privilege section of the agreement of the February 2026 convertible senior notes, or any time after December 1, 2031, and prior to the close of business on the second scheduled trading day immediately preceding the maturity date. The Group is able to settle the conversion using shares, cash or a combination at its own discretion. The initial conversion rate is 100.7557 Class A ordinary shares per US$1,000 principal amount of February 2026 convertible senior notes, and the number of Class A ordinary shares issuable upon conversion is subject to customary adjustments upon the occurrence of certain events, such as the conversion upon a make-whole fundamental change, as defined in the agreement of the February 2026 convertible senior notes.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able to call for redemption of the February 2026 convertible senior notes based on the terms and conditions specified in the agreement of the February 2026 convertible senior notes at a redemption price equal to the principal amount of the notes to be redeemed, plus any accrued and unpaid interest. In addition, upon the occurrence of a fundamental change, as defined in the agreement of the February 2026 convertible senior notes, holders may require the Group to repurchase their February 2026 convertible senior notes at a cash repurchase price equal to the principal amount of the February 2026 convertible senior notes to be repurchased, plus accrued and unpaid interest.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features embedded to the February 2026 convertible senior notes do not meet the criteria to be separated from the host contract. The conversion feature is eligible for an exception from derivative accounting because it is indexed to the Group’s own stock. Additionally, the equity classification requirements under ASC 815-40-25 are met. Therefore, the conversion feature should not be bifurcated. The convertible note is measured at amortized cost and is classified as noncurrent liabilities as of June 30,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February 2026 convertible senior notes, the Group entered into privately negotiated capped call transactions with certain financial institutions. The capped call transactions are expected generally to reduce the potential dilution to the Group’s shareholders upon conversion of the February 2026 convertible senior notes and/or offset any cash payments the Group may be required to make in excess of the principal amount of converted February 2026 convertible senior notes, as applicable, with such reduction and/or offset subject to a cap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capped call transactions are separate transactions entered into by the Group and are not part of the terms of the February 2026 convertible senior notes. Holders of the February 2026 convertible senior notes do not have any rights with respect to the capped call transactions. The Group evaluated the capped call transactions under ASC 815, including the guidance on contracts indexed to, and potentially settled in, the Group’s own equity. The Group determined that the capped call transactions are indexed to the Group’s own shares and meet the criteria for classification in shareholders’ equity. Accordingly, the capped call transactions are not accounted for as derivative instruments. The premium paid of US$33.7 million for the capped call transactions was recorded as a reduction of additional paid-in capital within shareholders’ equity and will not be subsequently remeasured, provided the capped call transactions continue to meet the requirements for equity classification.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carrying value of the February 2026 convertible senior notes for the six months ended June 30, 2026:</w:t>
      </w:r>
    </w:p>
    <w:p>
      <w:pPr>
        <w:pStyle w:val="TextBody"/>
        <w:bidi w:val="0"/>
        <w:spacing w:before="0" w:after="0"/>
        <w:ind w:left="720" w:right="0" w:firstLine="720"/>
        <w:jc w:val="both"/>
        <w:rPr>
          <w:caps w:val="false"/>
          <w:smallCaps w:val="false"/>
        </w:rPr>
      </w:pPr>
      <w:r>
        <w:rPr>
          <w:caps w:val="false"/>
          <w:smallCaps w:val="false"/>
        </w:rPr>
        <w:t> </w:t>
      </w:r>
    </w:p>
    <w:tbl>
      <w:tblPr>
        <w:tblW w:w="5205" w:type="dxa"/>
        <w:jc w:val="left"/>
        <w:tblInd w:w="0" w:type="dxa"/>
        <w:tblLayout w:type="fixed"/>
        <w:tblCellMar>
          <w:top w:w="0" w:type="dxa"/>
          <w:left w:w="0" w:type="dxa"/>
          <w:bottom w:w="28" w:type="dxa"/>
          <w:right w:w="0" w:type="dxa"/>
        </w:tblCellMar>
      </w:tblPr>
      <w:tblGrid>
        <w:gridCol w:w="4175"/>
        <w:gridCol w:w="60"/>
        <w:gridCol w:w="60"/>
        <w:gridCol w:w="800"/>
        <w:gridCol w:w="110"/>
      </w:tblGrid>
      <w:tr>
        <w:trPr/>
        <w:tc>
          <w:tcPr>
            <w:tcW w:w="4175" w:type="dxa"/>
            <w:tcBorders>
              <w:bottom w:val="single" w:sz="12" w:space="0" w:color="000000"/>
            </w:tcBorders>
            <w:vAlign w:val="center"/>
          </w:tcPr>
          <w:p>
            <w:pPr>
              <w:pStyle w:val="TableContents"/>
              <w:bidi w:val="0"/>
              <w:spacing w:before="0" w:after="283"/>
              <w:ind w:left="0" w:right="0" w:hanging="180"/>
              <w:jc w:val="left"/>
              <w:rPr>
                <w:b/>
              </w:rPr>
            </w:pPr>
            <w:r>
              <w:rPr>
                <w:b/>
              </w:rPr>
              <w:t>In thousands of USD</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4175" w:type="dxa"/>
            <w:tcBorders/>
            <w:shd w:fill="CCEEFF" w:val="clear"/>
            <w:tcMar>
              <w:bottom w:w="0" w:type="dxa"/>
            </w:tcMar>
            <w:vAlign w:val="center"/>
          </w:tcPr>
          <w:p>
            <w:pPr>
              <w:pStyle w:val="TableContents"/>
              <w:bidi w:val="0"/>
              <w:spacing w:before="0" w:after="283"/>
              <w:jc w:val="left"/>
              <w:rPr/>
            </w:pPr>
            <w:r>
              <w:rPr/>
              <w:t>Proceeds from issuance of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375,000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175" w:type="dxa"/>
            <w:tcBorders/>
            <w:shd w:fill="FFFFFF" w:val="clear"/>
            <w:tcMar>
              <w:bottom w:w="0" w:type="dxa"/>
            </w:tcMar>
            <w:vAlign w:val="center"/>
          </w:tcPr>
          <w:p>
            <w:pPr>
              <w:pStyle w:val="TableContents"/>
              <w:bidi w:val="0"/>
              <w:spacing w:before="0" w:after="283"/>
              <w:jc w:val="left"/>
              <w:rPr/>
            </w:pPr>
            <w:r>
              <w:rPr/>
              <w:t>Less: transaction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(11,275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4175" w:type="dxa"/>
            <w:tcBorders/>
            <w:shd w:fill="CCEEFF" w:val="clear"/>
            <w:tcMar>
              <w:bottom w:w="0" w:type="dxa"/>
            </w:tcMar>
            <w:vAlign w:val="center"/>
          </w:tcPr>
          <w:p>
            <w:pPr>
              <w:pStyle w:val="TableContents"/>
              <w:bidi w:val="0"/>
              <w:spacing w:before="0" w:after="283"/>
              <w:jc w:val="left"/>
              <w:rPr/>
            </w:pPr>
            <w:r>
              <w:rPr/>
              <w:t>Amortized debt 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384</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4175" w:type="dxa"/>
            <w:tcBorders/>
            <w:shd w:fill="FFFFFF" w:val="clear"/>
            <w:tcMar>
              <w:bottom w:w="0" w:type="dxa"/>
            </w:tcMar>
            <w:vAlign w:val="center"/>
          </w:tcPr>
          <w:p>
            <w:pPr>
              <w:pStyle w:val="TableContents"/>
              <w:bidi w:val="0"/>
              <w:spacing w:before="0" w:after="283"/>
              <w:jc w:val="left"/>
              <w:rPr/>
            </w:pPr>
            <w:r>
              <w:rPr/>
              <w:t>Balance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364,109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a summary of the interest expense arising from February 2026 convertible senior notes.</w:t>
      </w:r>
    </w:p>
    <w:p>
      <w:pPr>
        <w:pStyle w:val="TextBody"/>
        <w:bidi w:val="0"/>
        <w:spacing w:before="0" w:after="0"/>
        <w:ind w:left="720" w:right="0" w:firstLine="720"/>
        <w:jc w:val="both"/>
        <w:rPr>
          <w:caps w:val="false"/>
          <w:smallCaps w:val="false"/>
        </w:rPr>
      </w:pPr>
      <w:r>
        <w:rPr>
          <w:caps w:val="false"/>
          <w:smallCaps w:val="false"/>
        </w:rPr>
        <w:t> </w:t>
      </w:r>
    </w:p>
    <w:tbl>
      <w:tblPr>
        <w:tblW w:w="5919" w:type="dxa"/>
        <w:jc w:val="left"/>
        <w:tblInd w:w="0" w:type="dxa"/>
        <w:tblLayout w:type="fixed"/>
        <w:tblCellMar>
          <w:top w:w="0" w:type="dxa"/>
          <w:left w:w="0" w:type="dxa"/>
          <w:bottom w:w="0" w:type="dxa"/>
          <w:right w:w="0" w:type="dxa"/>
        </w:tblCellMar>
      </w:tblPr>
      <w:tblGrid>
        <w:gridCol w:w="4640"/>
        <w:gridCol w:w="60"/>
        <w:gridCol w:w="110"/>
        <w:gridCol w:w="1034"/>
        <w:gridCol w:w="75"/>
      </w:tblGrid>
      <w:tr>
        <w:trPr/>
        <w:tc>
          <w:tcPr>
            <w:tcW w:w="46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b/>
              </w:rPr>
            </w:pPr>
            <w:r>
              <w:rPr>
                <w:b/>
              </w:rPr>
              <w:t>Six months</w:t>
              <w:br/>
              <w:t>ended</w:t>
              <w:br/>
              <w:t>June 30,</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pPr>
            <w:r>
              <w:rPr/>
              <w:t>Coupon interest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6,510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640" w:type="dxa"/>
            <w:tcBorders/>
            <w:shd w:fill="FFFFFF" w:val="clear"/>
            <w:vAlign w:val="center"/>
          </w:tcPr>
          <w:p>
            <w:pPr>
              <w:pStyle w:val="TableContents"/>
              <w:bidi w:val="0"/>
              <w:spacing w:before="0" w:after="283"/>
              <w:jc w:val="left"/>
              <w:rPr/>
            </w:pPr>
            <w:r>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384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interest expense is capitalized into 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on long-term borrowings are as follows:</w:t>
      </w:r>
    </w:p>
    <w:p>
      <w:pPr>
        <w:pStyle w:val="TextBody"/>
        <w:bidi w:val="0"/>
        <w:spacing w:before="0" w:after="0"/>
        <w:ind w:left="720" w:right="0" w:firstLine="72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165"/>
        <w:gridCol w:w="60"/>
        <w:gridCol w:w="60"/>
        <w:gridCol w:w="980"/>
        <w:gridCol w:w="7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 xml:space="preserve">At </w:t>
              <w:br/>
              <w:t>June 30,</w:t>
            </w:r>
          </w:p>
        </w:tc>
        <w:tc>
          <w:tcPr>
            <w:tcW w:w="75" w:type="dxa"/>
            <w:tcBorders/>
            <w:vAlign w:val="center"/>
          </w:tcPr>
          <w:p>
            <w:pPr>
              <w:pStyle w:val="TableContents"/>
              <w:bidi w:val="0"/>
              <w:spacing w:before="0" w:after="283"/>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65,031</w:t>
            </w:r>
          </w:p>
        </w:tc>
        <w:tc>
          <w:tcPr>
            <w:tcW w:w="75"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2030 and later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1,150,971</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1,216,058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3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w:t>
            </w:r>
          </w:p>
        </w:tc>
        <w:tc>
          <w:tcPr>
            <w:tcW w:w="18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Short-term bank loans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Group entered into a banking facility arrangement with a Singapore financial institution for an aggregate loan principal amount of US$26.0 million. Drawdowns under the facility are used to finance the Group’s payment obligations to suppliers and are unsecured. As of June 30, 2026 and December 31, 2025, the facility was fully drawn and the outstanding balance of US$26.0 million was presented within current borrowings. The loan bears interest at 10.31% per annum and matured in July 2026. Interest expense amounted to US$1.3 million and US$0.5 million for the six months ended June 30, 2026 and 2025, respectively. Refer to Note 24 for the repayment of the facility and the subsequent drawdowns in July 2026. </w:t>
      </w:r>
    </w:p>
    <w:p>
      <w:pPr>
        <w:pStyle w:val="TextBody"/>
        <w:bidi w:val="0"/>
        <w:spacing w:before="0" w:after="0"/>
        <w:ind w:left="720" w:right="0" w:firstLine="72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27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2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DERIVATIVE INSTRUMENTS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Tether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derivative liability related to the Tether Warrant was extinguished upon exercise, with the exercise price adjusted to US$9.64 per share as a result of the repricing adjustments by issuance of 5,186,627 Class A ordinary shares to Tether. The carrying amount of approximately US$24.2 million included in the liabilities was derecognized. For the six months ended June 30, 2025, the Group recognized a gain on changes in fair value of derivative instruments of US$42.6 million in respect of the Tether Warrant. No Tether Warrant derivative liability was outstanding as of June 30, 2026 or December 31, 2025. </w:t>
      </w:r>
    </w:p>
    <w:p>
      <w:pPr>
        <w:pStyle w:val="TextBody"/>
        <w:bidi w:val="0"/>
        <w:spacing w:before="0" w:after="0"/>
        <w:ind w:left="840" w:right="0" w:firstLine="600"/>
        <w:jc w:val="both"/>
        <w:rPr>
          <w:caps w:val="false"/>
          <w:smallCaps w:val="false"/>
        </w:rPr>
      </w:pPr>
      <w:r>
        <w:rPr>
          <w:caps w:val="false"/>
          <w:smallCaps w:val="false"/>
        </w:rPr>
        <w:t> </w:t>
      </w:r>
    </w:p>
    <w:p>
      <w:pPr>
        <w:pStyle w:val="TextBody"/>
        <w:bidi w:val="0"/>
        <w:spacing w:before="0" w:after="0"/>
        <w:ind w:left="426"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Embedded derivative for August 2024 convertible senior notes</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August 2024 convertible senior notes, the Group recognized a derivative liability related to the embedded conversion feature, which was measured at fair value using a binomial model with the assistance of an independent valuation specialist. The derivative liability was extinguished in full on settlement of those notes during the year ended December 31, 2025, as described in Note 13.</w:t>
      </w:r>
    </w:p>
    <w:p>
      <w:pPr>
        <w:pStyle w:val="TextBody"/>
        <w:bidi w:val="0"/>
        <w:spacing w:before="0" w:after="0"/>
        <w:ind w:left="72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For the six months ended June 30, 2025, the Group recognized a gain on changes in fair value of derivative instruments of approximately US$122.7 million in respect of the embedded derivative of the August 2024 convertible senior notes. No related derivative liability was outstanding as of June 30, 2026 or December 31, 2025. </w:t>
      </w:r>
    </w:p>
    <w:p>
      <w:pPr>
        <w:pStyle w:val="TextBody"/>
        <w:bidi w:val="0"/>
        <w:spacing w:before="0" w:after="0"/>
        <w:ind w:left="840" w:right="0" w:firstLine="60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Power-related contracts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entered into contracts for the purchase and sale of electricity as part of its ordinary course of operations. Power purchase contracts that are not designated as normal purchases or normal sales are accounted for as derivative instruments under ASC 815 and remeasured at fair value at each reporting date, and are classified within Level 3 of the fair value hierarchy, measured using a discounted cash flow model.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Group’s classification of the derivative balances in the balance sheet are as follows:</w:t>
      </w:r>
    </w:p>
    <w:p>
      <w:pPr>
        <w:pStyle w:val="TextBody"/>
        <w:bidi w:val="0"/>
        <w:spacing w:before="0" w:after="0"/>
        <w:ind w:left="840" w:right="0" w:firstLine="600"/>
        <w:jc w:val="both"/>
        <w:rPr>
          <w:caps w:val="false"/>
          <w:smallCaps w:val="false"/>
        </w:rPr>
      </w:pPr>
      <w:r>
        <w:rPr>
          <w:caps w:val="false"/>
          <w:smallCaps w:val="false"/>
        </w:rPr>
        <w:t> </w:t>
      </w:r>
    </w:p>
    <w:tbl>
      <w:tblPr>
        <w:tblW w:w="9215" w:type="dxa"/>
        <w:jc w:val="left"/>
        <w:tblInd w:w="0" w:type="dxa"/>
        <w:tblLayout w:type="fixed"/>
        <w:tblCellMar>
          <w:top w:w="0" w:type="dxa"/>
          <w:left w:w="0" w:type="dxa"/>
          <w:bottom w:w="0" w:type="dxa"/>
          <w:right w:w="0" w:type="dxa"/>
        </w:tblCellMar>
      </w:tblPr>
      <w:tblGrid>
        <w:gridCol w:w="3620"/>
        <w:gridCol w:w="60"/>
        <w:gridCol w:w="69"/>
        <w:gridCol w:w="791"/>
        <w:gridCol w:w="60"/>
        <w:gridCol w:w="60"/>
        <w:gridCol w:w="118"/>
        <w:gridCol w:w="1102"/>
        <w:gridCol w:w="60"/>
        <w:gridCol w:w="60"/>
        <w:gridCol w:w="78"/>
        <w:gridCol w:w="827"/>
        <w:gridCol w:w="95"/>
        <w:gridCol w:w="60"/>
        <w:gridCol w:w="472"/>
        <w:gridCol w:w="748"/>
        <w:gridCol w:w="60"/>
        <w:gridCol w:w="60"/>
        <w:gridCol w:w="60"/>
        <w:gridCol w:w="680"/>
        <w:gridCol w:w="75"/>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Current</w:t>
              <w:br/>
              <w:t>asset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Noncurrent</w:t>
              <w:br/>
              <w:t>asset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Current</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Noncurrent</w:t>
              <w:br/>
              <w:t>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Physical electricity supply agreements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7,742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7,742</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Financial power contracts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FFFFFF" w:val="clear"/>
            <w:tcMar>
              <w:bottom w:w="28" w:type="dxa"/>
            </w:tcMar>
            <w:vAlign w:val="center"/>
          </w:tcPr>
          <w:p>
            <w:pPr>
              <w:pStyle w:val="TableContents"/>
              <w:bidi w:val="0"/>
              <w:spacing w:before="0" w:after="283"/>
              <w:jc w:val="right"/>
              <w:rPr/>
            </w:pPr>
            <w:r>
              <w:rPr/>
              <w:t>9,269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2,506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5,246</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(6,529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12,988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840" w:right="0" w:firstLine="60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 Group recognized gain on change in fair value of derivative instruments of approximately US$13.0 million. </w:t>
      </w:r>
    </w:p>
    <w:p>
      <w:pPr>
        <w:pStyle w:val="TextBody"/>
        <w:bidi w:val="0"/>
        <w:spacing w:before="0" w:after="0"/>
        <w:ind w:left="840" w:right="0" w:firstLine="60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inputs used in the model for determining the value of the derivatives from power-related contracts:</w:t>
      </w:r>
    </w:p>
    <w:p>
      <w:pPr>
        <w:pStyle w:val="TextBody"/>
        <w:bidi w:val="0"/>
        <w:spacing w:before="0" w:after="0"/>
        <w:ind w:left="840" w:right="0" w:firstLine="600"/>
        <w:jc w:val="both"/>
        <w:rPr>
          <w:caps w:val="false"/>
          <w:smallCaps w:val="false"/>
        </w:rPr>
      </w:pPr>
      <w:r>
        <w:rPr>
          <w:caps w:val="false"/>
          <w:smallCaps w:val="false"/>
        </w:rPr>
        <w:t> </w:t>
      </w:r>
    </w:p>
    <w:tbl>
      <w:tblPr>
        <w:tblW w:w="7234" w:type="dxa"/>
        <w:jc w:val="left"/>
        <w:tblInd w:w="0" w:type="dxa"/>
        <w:tblLayout w:type="fixed"/>
        <w:tblCellMar>
          <w:top w:w="0" w:type="dxa"/>
          <w:left w:w="0" w:type="dxa"/>
          <w:bottom w:w="0" w:type="dxa"/>
          <w:right w:w="0" w:type="dxa"/>
        </w:tblCellMar>
      </w:tblPr>
      <w:tblGrid>
        <w:gridCol w:w="4205"/>
        <w:gridCol w:w="60"/>
        <w:gridCol w:w="60"/>
        <w:gridCol w:w="1145"/>
        <w:gridCol w:w="215"/>
        <w:gridCol w:w="60"/>
        <w:gridCol w:w="122"/>
        <w:gridCol w:w="1292"/>
        <w:gridCol w:w="75"/>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 xml:space="preserve">At </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 xml:space="preserve">At </w:t>
              <w:br/>
              <w:t>December 31,</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Forward NO3 electricity price (EUR/MWh)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 – 84.39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Discount rate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9.13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275"/>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2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ACCOUNTS PAYABLES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7093" w:type="dxa"/>
        <w:jc w:val="left"/>
        <w:tblInd w:w="0" w:type="dxa"/>
        <w:tblLayout w:type="fixed"/>
        <w:tblCellMar>
          <w:top w:w="0" w:type="dxa"/>
          <w:left w:w="0" w:type="dxa"/>
          <w:bottom w:w="0" w:type="dxa"/>
          <w:right w:w="0" w:type="dxa"/>
        </w:tblCellMar>
      </w:tblPr>
      <w:tblGrid>
        <w:gridCol w:w="4550"/>
        <w:gridCol w:w="60"/>
        <w:gridCol w:w="61"/>
        <w:gridCol w:w="813"/>
        <w:gridCol w:w="60"/>
        <w:gridCol w:w="60"/>
        <w:gridCol w:w="98"/>
        <w:gridCol w:w="1316"/>
        <w:gridCol w:w="75"/>
      </w:tblGrid>
      <w:tr>
        <w:trPr/>
        <w:tc>
          <w:tcPr>
            <w:tcW w:w="45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455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4550" w:type="dxa"/>
            <w:tcBorders/>
            <w:shd w:fill="CCEEFF" w:val="clear"/>
            <w:vAlign w:val="center"/>
          </w:tcPr>
          <w:p>
            <w:pPr>
              <w:pStyle w:val="TableContents"/>
              <w:bidi w:val="0"/>
              <w:spacing w:before="0" w:after="283"/>
              <w:jc w:val="left"/>
              <w:rPr/>
            </w:pPr>
            <w:r>
              <w:rPr/>
              <w:t>Electricity payables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76,165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50,155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550" w:type="dxa"/>
            <w:tcBorders/>
            <w:shd w:fill="FFFFFF" w:val="clear"/>
            <w:vAlign w:val="center"/>
          </w:tcPr>
          <w:p>
            <w:pPr>
              <w:pStyle w:val="TableContents"/>
              <w:bidi w:val="0"/>
              <w:spacing w:before="0" w:after="283"/>
              <w:jc w:val="left"/>
              <w:rPr/>
            </w:pPr>
            <w:r>
              <w:rPr/>
              <w:t>Production and supply chain payables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53,244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34,027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550" w:type="dxa"/>
            <w:tcBorders/>
            <w:shd w:fill="CCEEFF" w:val="clear"/>
            <w:vAlign w:val="center"/>
          </w:tcPr>
          <w:p>
            <w:pPr>
              <w:pStyle w:val="TableContents"/>
              <w:bidi w:val="0"/>
              <w:spacing w:before="0" w:after="283"/>
              <w:jc w:val="left"/>
              <w:rPr/>
            </w:pPr>
            <w:r>
              <w:rPr/>
              <w:t>Construction and infrastructure-related payables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35,143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23,342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550" w:type="dxa"/>
            <w:tcBorders/>
            <w:shd w:fill="FFFFFF" w:val="clear"/>
            <w:vAlign w:val="center"/>
          </w:tcPr>
          <w:p>
            <w:pPr>
              <w:pStyle w:val="TableContents"/>
              <w:bidi w:val="0"/>
              <w:spacing w:before="0" w:after="283"/>
              <w:jc w:val="left"/>
              <w:rPr/>
            </w:pPr>
            <w:r>
              <w:rPr/>
              <w:t>Logistics and import duties payables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12,167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12,165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55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5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177,263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119,818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7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ACCRUED EXPENSES AND OTHER LIABILITIES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liabilities consist of the following:</w:t>
      </w:r>
    </w:p>
    <w:p>
      <w:pPr>
        <w:pStyle w:val="TextBody"/>
        <w:bidi w:val="0"/>
        <w:spacing w:before="0" w:after="0"/>
        <w:ind w:left="0" w:right="0" w:hanging="0"/>
        <w:jc w:val="both"/>
        <w:rPr>
          <w:caps w:val="false"/>
          <w:smallCaps w:val="false"/>
        </w:rPr>
      </w:pPr>
      <w:r>
        <w:rPr>
          <w:caps w:val="false"/>
          <w:smallCaps w:val="false"/>
        </w:rPr>
        <w:t> </w:t>
      </w:r>
    </w:p>
    <w:tbl>
      <w:tblPr>
        <w:tblW w:w="7018" w:type="dxa"/>
        <w:jc w:val="left"/>
        <w:tblInd w:w="0" w:type="dxa"/>
        <w:tblLayout w:type="fixed"/>
        <w:tblCellMar>
          <w:top w:w="0" w:type="dxa"/>
          <w:left w:w="0" w:type="dxa"/>
          <w:bottom w:w="0" w:type="dxa"/>
          <w:right w:w="0" w:type="dxa"/>
        </w:tblCellMar>
      </w:tblPr>
      <w:tblGrid>
        <w:gridCol w:w="4475"/>
        <w:gridCol w:w="60"/>
        <w:gridCol w:w="70"/>
        <w:gridCol w:w="804"/>
        <w:gridCol w:w="60"/>
        <w:gridCol w:w="60"/>
        <w:gridCol w:w="113"/>
        <w:gridCol w:w="1301"/>
        <w:gridCol w:w="75"/>
      </w:tblGrid>
      <w:tr>
        <w:trPr/>
        <w:tc>
          <w:tcPr>
            <w:tcW w:w="44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447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pPr>
            <w:r>
              <w:rPr/>
              <w:t>Deposits from customers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18,081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25,571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pPr>
            <w:r>
              <w:rPr/>
              <w:t>Accrued operating expenses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11,629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10,242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pPr>
            <w:r>
              <w:rPr/>
              <w:t>Payables for surtaxes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8,357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pPr>
            <w:r>
              <w:rPr/>
              <w:t>Interest payable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9,886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3,682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Payable to the former owners in Norway Acquisition</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2,168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pPr>
            <w:r>
              <w:rPr/>
              <w:t>Payables for staff-related costs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4,595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3,484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pPr>
            <w:r>
              <w:rPr/>
              <w:t>Asset retirement obligation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2,650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1,882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1,223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b/>
              </w:rPr>
            </w:pPr>
            <w:r>
              <w:rPr>
                <w:b/>
              </w:rPr>
              <w:t>57,980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b/>
              </w:rPr>
            </w:pPr>
            <w:r>
              <w:rPr>
                <w:b/>
              </w:rPr>
              <w:t>57,377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54,181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54,964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475" w:type="dxa"/>
            <w:tcBorders/>
            <w:shd w:fill="FFFFFF" w:val="clear"/>
            <w:vAlign w:val="center"/>
          </w:tcPr>
          <w:p>
            <w:pPr>
              <w:pStyle w:val="TableContents"/>
              <w:bidi w:val="0"/>
              <w:spacing w:before="0" w:after="283"/>
              <w:jc w:val="left"/>
              <w:rPr/>
            </w:pPr>
            <w:r>
              <w:rPr/>
              <w:t>Noncurrent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3,799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12" w:space="0" w:color="000000"/>
            </w:tcBorders>
            <w:shd w:fill="FFFFFF" w:val="clear"/>
            <w:tcMar>
              <w:bottom w:w="28" w:type="dxa"/>
            </w:tcMar>
            <w:vAlign w:val="center"/>
          </w:tcPr>
          <w:p>
            <w:pPr>
              <w:pStyle w:val="TableContents"/>
              <w:bidi w:val="0"/>
              <w:spacing w:before="0" w:after="283"/>
              <w:jc w:val="right"/>
              <w:rPr/>
            </w:pPr>
            <w:r>
              <w:rPr/>
              <w:t>2,413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57,377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both"/>
              <w:rPr/>
            </w:pPr>
            <w:r>
              <w:rPr/>
              <w:t>Consists of digital asset-settled balances of US$17.4 million (consisting principal amount of US$25.2 million and embedded derivative asset of US$7.8 million) and US$24.7 million (consisting principal amount of US$25.2 million and embedded derivative asset of US$0.5 million) as of June 30, 2026 and December 31, 2025,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Represents the balance due to the former owners of the Norwegian datacenter business acquired by the Group in April 2024 (the “Norway Acquisition”), being a normal annual dividend authorized prior to the acquisition. It is thus accounted for as part of the liabilities assumed from the business combination, and listed in other payables.</w:t>
            </w:r>
          </w:p>
        </w:tc>
      </w:tr>
    </w:tbl>
    <w:p>
      <w:pPr>
        <w:pStyle w:val="TextBody"/>
        <w:bidi w:val="0"/>
        <w:spacing w:before="0" w:after="283"/>
        <w:jc w:val="left"/>
        <w:rPr/>
      </w:pPr>
      <w:r>
        <w:rPr/>
        <w:t> </w:t>
      </w:r>
    </w:p>
    <w:tbl>
      <w:tblPr>
        <w:tblW w:w="3348" w:type="dxa"/>
        <w:jc w:val="left"/>
        <w:tblInd w:w="0" w:type="dxa"/>
        <w:tblLayout w:type="fixed"/>
        <w:tblCellMar>
          <w:top w:w="0" w:type="dxa"/>
          <w:left w:w="0" w:type="dxa"/>
          <w:bottom w:w="0" w:type="dxa"/>
          <w:right w:w="0" w:type="dxa"/>
        </w:tblCellMar>
      </w:tblPr>
      <w:tblGrid>
        <w:gridCol w:w="38"/>
        <w:gridCol w:w="27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30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2023, the board of directors of BTG approved the 2023 Share Incentive Plan (the “2023 Plan”), which became effective in April 2023. Under the 2023 Plan, the Group is able to issue up to an aggregate of 21,877,912 Class A ordinary shares to the designated recipients. BTG granted a total of 915,362 options and nil restricted share units in two batches in January and April 2025 for the periods ended June 30, 2025, and a total of 703,400 options and 255,000 restricted share units in two batches in January and April 2026 for the periods ended June 30, 2026 to the designated recipients under the 2023 Plan. Each share award grants an option for the recipient to purchase one share of the Group’s ordinary shares at exercise prices ranging from US$9.34 to US$11.21 and US$0.01 to US$21.67 per share for the six months ended June 30, 2026 and 2025, respectively. The majority of the share awards vest from two to seven years and certain share awards vest immediately upon issuance. The recipient shall continue to provide services to the Group by each vesting date. All share awards granted expire on the tenth anniversary from the date of grant.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awards issued in September 2024 under 2023 Plan include 830,000 share awards, which are replacement awards, to exchange for the acquiree’s awards in connection with the Group’s acquisition of FreeChain in September 2024 (the “FreeChain Acquisition”). In addition, the Group also issued 6,400,000 Class A ordinary shares, including 128,000 holdback shares, to certain shareholders of FreeChain. These shares are subject to a vesting period ranging from five to seven years, during which the recipients must continue to provide services to the Group through each vesting date. The fair value attributable to the pre-acquisition vesting service was included in the consideration transferred while the fair value attributable to the post-acquisition vesting service is recognized as share-based compensation expenses over the remaining service period. The fair value was determined based on the number of shares transferred and the closing price on the date of issuance.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2023, the board of directors of BTG approved the 2023 Performance Share Plan (the “2023 Performance Plan”), which was effective in October 2023. Under the 2023 Performance Plan, the Group is able to issue up to an aggregate of 1,112,886 Class A ordinary shares to the designated recipients. The number of Class A ordinary shares available for issuance under the 2023 Performance Plan could be subsequently adjusted to be no more than 11,128,861 based on the Group’s market capitalization as set forth in the 2023 Performance Plan. The Group did not issue any award under the 2023 Performance Plan for the periods ended June 30, 2026 and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summary of share options activity.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9"/>
        <w:gridCol w:w="60"/>
        <w:gridCol w:w="71"/>
        <w:gridCol w:w="816"/>
        <w:gridCol w:w="95"/>
        <w:gridCol w:w="60"/>
        <w:gridCol w:w="119"/>
        <w:gridCol w:w="876"/>
        <w:gridCol w:w="60"/>
        <w:gridCol w:w="60"/>
        <w:gridCol w:w="399"/>
        <w:gridCol w:w="2937"/>
        <w:gridCol w:w="60"/>
        <w:gridCol w:w="60"/>
        <w:gridCol w:w="63"/>
        <w:gridCol w:w="842"/>
        <w:gridCol w:w="78"/>
      </w:tblGrid>
      <w:tr>
        <w:trPr/>
        <w:tc>
          <w:tcPr>
            <w:tcW w:w="3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1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Periods ended June 30, 2026</w:t>
            </w:r>
          </w:p>
        </w:tc>
        <w:tc>
          <w:tcPr>
            <w:tcW w:w="78" w:type="dxa"/>
            <w:tcBorders/>
            <w:vAlign w:val="center"/>
          </w:tcPr>
          <w:p>
            <w:pPr>
              <w:pStyle w:val="TableContents"/>
              <w:bidi w:val="0"/>
              <w:spacing w:before="0" w:after="283"/>
              <w:jc w:val="left"/>
              <w:rPr/>
            </w:pPr>
            <w:r>
              <w:rPr/>
              <w:t> </w:t>
            </w:r>
          </w:p>
        </w:tc>
      </w:tr>
      <w:tr>
        <w:trPr/>
        <w:tc>
          <w:tcPr>
            <w:tcW w:w="3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b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contractual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w:t>
              <w:br/>
              <w:t>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7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As at January 1, 2026</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14,305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2937" w:type="dxa"/>
            <w:tcBorders/>
            <w:shd w:fill="CCEEFF" w:val="clear"/>
            <w:vAlign w:val="center"/>
          </w:tcPr>
          <w:p>
            <w:pPr>
              <w:pStyle w:val="TableContents"/>
              <w:bidi w:val="0"/>
              <w:spacing w:before="0" w:after="283"/>
              <w:jc w:val="right"/>
              <w:rPr/>
            </w:pPr>
            <w:r>
              <w:rPr/>
              <w:t>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86,748</w:t>
            </w:r>
          </w:p>
        </w:tc>
        <w:tc>
          <w:tcPr>
            <w:tcW w:w="78" w:type="dxa"/>
            <w:tcBorders/>
            <w:shd w:fill="CCEEFF"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2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2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FFFFFF" w:val="clear"/>
            <w:tcMar>
              <w:bottom w:w="28" w:type="dxa"/>
            </w:tcMar>
            <w:vAlign w:val="center"/>
          </w:tcPr>
          <w:p>
            <w:pPr>
              <w:pStyle w:val="TableContents"/>
              <w:bidi w:val="0"/>
              <w:spacing w:before="0" w:after="283"/>
              <w:jc w:val="right"/>
              <w:rPr/>
            </w:pPr>
            <w:r>
              <w:rPr/>
              <w:t>(363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2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As at June 30, 2026</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double" w:sz="10" w:space="0" w:color="000000"/>
            </w:tcBorders>
            <w:shd w:fill="CCEEFF" w:val="clear"/>
            <w:tcMar>
              <w:bottom w:w="28" w:type="dxa"/>
            </w:tcMar>
            <w:vAlign w:val="center"/>
          </w:tcPr>
          <w:p>
            <w:pPr>
              <w:pStyle w:val="TableContents"/>
              <w:bidi w:val="0"/>
              <w:spacing w:before="0" w:after="283"/>
              <w:jc w:val="right"/>
              <w:rPr/>
            </w:pPr>
            <w:r>
              <w:rPr/>
              <w:t>14,029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2937" w:type="dxa"/>
            <w:tcBorders/>
            <w:shd w:fill="CCEEFF" w:val="clear"/>
            <w:vAlign w:val="center"/>
          </w:tcPr>
          <w:p>
            <w:pPr>
              <w:pStyle w:val="TableContents"/>
              <w:bidi w:val="0"/>
              <w:spacing w:before="0" w:after="283"/>
              <w:jc w:val="right"/>
              <w:rPr/>
            </w:pPr>
            <w:r>
              <w:rPr/>
              <w:t>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144,073</w:t>
            </w:r>
          </w:p>
        </w:tc>
        <w:tc>
          <w:tcPr>
            <w:tcW w:w="78" w:type="dxa"/>
            <w:tcBorders/>
            <w:shd w:fill="CCEEFF"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b/>
              </w:rPr>
            </w:pPr>
            <w:r>
              <w:rPr>
                <w:b/>
              </w:rPr>
              <w:t>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b/>
              </w:rPr>
            </w:pPr>
            <w:r>
              <w:rPr>
                <w:b/>
              </w:rPr>
              <w:t>8,248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b/>
              </w:rPr>
            </w:pPr>
            <w:r>
              <w:rPr>
                <w:b/>
              </w:rPr>
              <w:t>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2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08"/>
        <w:gridCol w:w="60"/>
        <w:gridCol w:w="110"/>
        <w:gridCol w:w="1253"/>
        <w:gridCol w:w="95"/>
        <w:gridCol w:w="60"/>
        <w:gridCol w:w="96"/>
        <w:gridCol w:w="899"/>
        <w:gridCol w:w="60"/>
        <w:gridCol w:w="60"/>
        <w:gridCol w:w="371"/>
        <w:gridCol w:w="2731"/>
        <w:gridCol w:w="60"/>
        <w:gridCol w:w="60"/>
        <w:gridCol w:w="63"/>
        <w:gridCol w:w="842"/>
        <w:gridCol w:w="77"/>
      </w:tblGrid>
      <w:tr>
        <w:trPr/>
        <w:tc>
          <w:tcPr>
            <w:tcW w:w="3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760"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Periods ended June 30, 2025</w:t>
            </w:r>
          </w:p>
        </w:tc>
        <w:tc>
          <w:tcPr>
            <w:tcW w:w="77" w:type="dxa"/>
            <w:tcBorders/>
            <w:vAlign w:val="center"/>
          </w:tcPr>
          <w:p>
            <w:pPr>
              <w:pStyle w:val="TableContents"/>
              <w:bidi w:val="0"/>
              <w:spacing w:before="0" w:after="283"/>
              <w:jc w:val="left"/>
              <w:rPr/>
            </w:pPr>
            <w:r>
              <w:rPr/>
              <w:t> </w:t>
            </w:r>
          </w:p>
        </w:tc>
      </w:tr>
      <w:tr>
        <w:trPr/>
        <w:tc>
          <w:tcPr>
            <w:tcW w:w="3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options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b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contractual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w:t>
              <w:br/>
              <w:t>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77" w:type="dxa"/>
            <w:tcBorders/>
            <w:vAlign w:val="center"/>
          </w:tcPr>
          <w:p>
            <w:pPr>
              <w:pStyle w:val="TableContents"/>
              <w:bidi w:val="0"/>
              <w:spacing w:before="0" w:after="283"/>
              <w:jc w:val="left"/>
              <w:rPr/>
            </w:pPr>
            <w:r>
              <w:rPr/>
              <w:t> </w:t>
            </w:r>
          </w:p>
        </w:tc>
      </w:tr>
      <w:tr>
        <w:trPr/>
        <w:tc>
          <w:tcPr>
            <w:tcW w:w="3308" w:type="dxa"/>
            <w:tcBorders/>
            <w:shd w:fill="CCEEFF" w:val="clear"/>
            <w:vAlign w:val="center"/>
          </w:tcPr>
          <w:p>
            <w:pPr>
              <w:pStyle w:val="TableContents"/>
              <w:bidi w:val="0"/>
              <w:spacing w:before="0" w:after="283"/>
              <w:jc w:val="left"/>
              <w:rPr/>
            </w:pPr>
            <w:r>
              <w:rPr/>
              <w:t>As at January 1, 2025</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13,866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731" w:type="dxa"/>
            <w:tcBorders/>
            <w:shd w:fill="CCEEFF" w:val="clear"/>
            <w:vAlign w:val="center"/>
          </w:tcPr>
          <w:p>
            <w:pPr>
              <w:pStyle w:val="TableContents"/>
              <w:bidi w:val="0"/>
              <w:spacing w:before="0" w:after="283"/>
              <w:jc w:val="right"/>
              <w:rPr/>
            </w:pPr>
            <w:r>
              <w:rPr/>
              <w:t>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240,019</w:t>
            </w:r>
          </w:p>
        </w:tc>
        <w:tc>
          <w:tcPr>
            <w:tcW w:w="77" w:type="dxa"/>
            <w:tcBorders/>
            <w:shd w:fill="CCEEFF" w:val="clear"/>
            <w:vAlign w:val="center"/>
          </w:tcPr>
          <w:p>
            <w:pPr>
              <w:pStyle w:val="TableContents"/>
              <w:bidi w:val="0"/>
              <w:spacing w:before="0" w:after="283"/>
              <w:jc w:val="left"/>
              <w:rPr/>
            </w:pPr>
            <w:r>
              <w:rPr/>
              <w:t> </w:t>
            </w:r>
          </w:p>
        </w:tc>
      </w:tr>
      <w:tr>
        <w:trPr/>
        <w:tc>
          <w:tcPr>
            <w:tcW w:w="3308"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3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7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308"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3" w:type="dxa"/>
            <w:tcBorders>
              <w:bottom w:val="single" w:sz="12" w:space="0" w:color="000000"/>
            </w:tcBorders>
            <w:shd w:fill="FFFFFF" w:val="clear"/>
            <w:tcMar>
              <w:bottom w:w="28" w:type="dxa"/>
            </w:tcM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308" w:type="dxa"/>
            <w:tcBorders/>
            <w:shd w:fill="CCEEFF" w:val="clear"/>
            <w:vAlign w:val="center"/>
          </w:tcPr>
          <w:p>
            <w:pPr>
              <w:pStyle w:val="TableContents"/>
              <w:bidi w:val="0"/>
              <w:spacing w:before="0" w:after="283"/>
              <w:jc w:val="left"/>
              <w:rPr/>
            </w:pPr>
            <w:r>
              <w:rPr/>
              <w:t>As at June 30, 2025</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3" w:type="dxa"/>
            <w:tcBorders>
              <w:bottom w:val="double" w:sz="10" w:space="0" w:color="000000"/>
            </w:tcBorders>
            <w:shd w:fill="CCEEFF" w:val="clear"/>
            <w:tcMar>
              <w:bottom w:w="28" w:type="dxa"/>
            </w:tcMar>
            <w:vAlign w:val="center"/>
          </w:tcPr>
          <w:p>
            <w:pPr>
              <w:pStyle w:val="TableContents"/>
              <w:bidi w:val="0"/>
              <w:spacing w:before="0" w:after="283"/>
              <w:jc w:val="right"/>
              <w:rPr/>
            </w:pPr>
            <w:r>
              <w:rPr/>
              <w:t>14,166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2731" w:type="dxa"/>
            <w:tcBorders/>
            <w:shd w:fill="CCEEFF" w:val="clear"/>
            <w:vAlign w:val="center"/>
          </w:tcPr>
          <w:p>
            <w:pPr>
              <w:pStyle w:val="TableContents"/>
              <w:bidi w:val="0"/>
              <w:spacing w:before="0" w:after="283"/>
              <w:jc w:val="right"/>
              <w:rPr/>
            </w:pPr>
            <w:r>
              <w:rPr/>
              <w:t>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95,000</w:t>
            </w:r>
          </w:p>
        </w:tc>
        <w:tc>
          <w:tcPr>
            <w:tcW w:w="77" w:type="dxa"/>
            <w:tcBorders/>
            <w:shd w:fill="CCEEFF" w:val="clear"/>
            <w:vAlign w:val="center"/>
          </w:tcPr>
          <w:p>
            <w:pPr>
              <w:pStyle w:val="TableContents"/>
              <w:bidi w:val="0"/>
              <w:spacing w:before="0" w:after="283"/>
              <w:jc w:val="left"/>
              <w:rPr/>
            </w:pPr>
            <w:r>
              <w:rPr/>
              <w:t> </w:t>
            </w:r>
          </w:p>
        </w:tc>
      </w:tr>
      <w:tr>
        <w:trPr/>
        <w:tc>
          <w:tcPr>
            <w:tcW w:w="3308" w:type="dxa"/>
            <w:tcBorders/>
            <w:shd w:fill="FFFFFF" w:val="clear"/>
            <w:vAlign w:val="center"/>
          </w:tcPr>
          <w:p>
            <w:pPr>
              <w:pStyle w:val="TableContents"/>
              <w:bidi w:val="0"/>
              <w:spacing w:before="0" w:after="283"/>
              <w:jc w:val="left"/>
              <w:rPr>
                <w:b/>
              </w:rPr>
            </w:pPr>
            <w:r>
              <w:rPr>
                <w:b/>
              </w:rPr>
              <w:t>Vested and exercisable at June 30, 2025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b/>
              </w:rPr>
            </w:pPr>
            <w:r>
              <w:rPr>
                <w:b/>
              </w:rPr>
              <w:t>7,139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b/>
              </w:rPr>
            </w:pPr>
            <w:r>
              <w:rPr>
                <w:b/>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27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proceeds received from the exercised shares under the 2023 Plan during the six months ended June 30, 2026 and 2025 was approximately US$2.5 million and US$1.7 million, respectively.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a summary of restricted share units activity.</w:t>
      </w:r>
    </w:p>
    <w:p>
      <w:pPr>
        <w:pStyle w:val="TextBody"/>
        <w:bidi w:val="0"/>
        <w:spacing w:before="0" w:after="0"/>
        <w:ind w:left="0" w:right="0" w:firstLine="357"/>
        <w:jc w:val="both"/>
        <w:rPr>
          <w:caps w:val="false"/>
          <w:smallCaps w:val="false"/>
        </w:rPr>
      </w:pPr>
      <w:r>
        <w:rPr>
          <w:caps w:val="false"/>
          <w:smallCaps w:val="false"/>
        </w:rPr>
        <w:t> </w:t>
      </w:r>
    </w:p>
    <w:tbl>
      <w:tblPr>
        <w:tblW w:w="4532" w:type="dxa"/>
        <w:jc w:val="left"/>
        <w:tblInd w:w="0" w:type="dxa"/>
        <w:tblLayout w:type="fixed"/>
        <w:tblCellMar>
          <w:top w:w="0" w:type="dxa"/>
          <w:left w:w="0" w:type="dxa"/>
          <w:bottom w:w="0" w:type="dxa"/>
          <w:right w:w="0" w:type="dxa"/>
        </w:tblCellMar>
      </w:tblPr>
      <w:tblGrid>
        <w:gridCol w:w="2105"/>
        <w:gridCol w:w="60"/>
        <w:gridCol w:w="127"/>
        <w:gridCol w:w="807"/>
        <w:gridCol w:w="92"/>
        <w:gridCol w:w="92"/>
        <w:gridCol w:w="113"/>
        <w:gridCol w:w="1061"/>
        <w:gridCol w:w="7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 2026</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restricted</w:t>
              <w:br/>
              <w:t>share units</w:t>
              <w:br/>
              <w:t>(’000)</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br/>
              <w:t>Per Share</w:t>
              <w:br/>
              <w:t>(US$)</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As at January 1, 2026</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255</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10.29</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As at June 30, 2026</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pPr>
            <w:r>
              <w:rPr/>
              <w:t>255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10.29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35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there was US$45.0 million and US$75.2 million, respectively, of total unrecognized compensation cost related to nonvested share options, restricted share units and share awards. The unrecognized compensation cost as of June 30, 2026 is expected to be recognized over a weighted average remaining vesting period of approximately 2.90 years. </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expense recognized for share awards during the six months ended June 30, 2026 and 2025 was approximately US$13.5 million and US$20.6 million, respectively. The breakdown is as follows: </w:t>
      </w:r>
    </w:p>
    <w:p>
      <w:pPr>
        <w:pStyle w:val="TextBody"/>
        <w:bidi w:val="0"/>
        <w:spacing w:before="0" w:after="0"/>
        <w:ind w:left="0" w:right="0" w:firstLine="357"/>
        <w:jc w:val="both"/>
        <w:rPr>
          <w:caps w:val="false"/>
          <w:smallCaps w:val="false"/>
        </w:rPr>
      </w:pPr>
      <w:r>
        <w:rPr>
          <w:caps w:val="false"/>
          <w:smallCaps w:val="false"/>
        </w:rPr>
        <w:t> </w:t>
      </w:r>
    </w:p>
    <w:tbl>
      <w:tblPr>
        <w:tblW w:w="5513" w:type="dxa"/>
        <w:jc w:val="left"/>
        <w:tblInd w:w="0" w:type="dxa"/>
        <w:tblLayout w:type="fixed"/>
        <w:tblCellMar>
          <w:top w:w="0" w:type="dxa"/>
          <w:left w:w="0" w:type="dxa"/>
          <w:bottom w:w="0" w:type="dxa"/>
          <w:right w:w="0" w:type="dxa"/>
        </w:tblCellMar>
      </w:tblPr>
      <w:tblGrid>
        <w:gridCol w:w="3500"/>
        <w:gridCol w:w="60"/>
        <w:gridCol w:w="70"/>
        <w:gridCol w:w="799"/>
        <w:gridCol w:w="70"/>
        <w:gridCol w:w="70"/>
        <w:gridCol w:w="70"/>
        <w:gridCol w:w="799"/>
        <w:gridCol w:w="75"/>
      </w:tblGrid>
      <w:tr>
        <w:trPr/>
        <w:tc>
          <w:tcPr>
            <w:tcW w:w="35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350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50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1,154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1,335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500"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236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596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4,162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5,956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5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FFFFFF" w:val="clear"/>
            <w:tcMar>
              <w:bottom w:w="28" w:type="dxa"/>
            </w:tcMar>
            <w:vAlign w:val="center"/>
          </w:tcPr>
          <w:p>
            <w:pPr>
              <w:pStyle w:val="TableContents"/>
              <w:bidi w:val="0"/>
              <w:spacing w:before="0" w:after="283"/>
              <w:jc w:val="right"/>
              <w:rPr/>
            </w:pPr>
            <w:r>
              <w:rPr/>
              <w:t>7,975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FFFFFF" w:val="clear"/>
            <w:tcMar>
              <w:bottom w:w="28" w:type="dxa"/>
            </w:tcMar>
            <w:vAlign w:val="center"/>
          </w:tcPr>
          <w:p>
            <w:pPr>
              <w:pStyle w:val="TableContents"/>
              <w:bidi w:val="0"/>
              <w:spacing w:before="0" w:after="283"/>
              <w:jc w:val="right"/>
              <w:rPr/>
            </w:pPr>
            <w:r>
              <w:rPr/>
              <w:t>12,687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5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13,527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20,574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 awards is estimated at the grant date using the binomial model with the assistance of an independent valuation specialist. The following table provides the inputs range to the model used for determining the value of the grant for the six months ended June 30, 2026 and 2025:</w:t>
      </w:r>
    </w:p>
    <w:p>
      <w:pPr>
        <w:pStyle w:val="TextBody"/>
        <w:bidi w:val="0"/>
        <w:spacing w:before="0" w:after="0"/>
        <w:ind w:left="0" w:right="0" w:firstLine="720"/>
        <w:jc w:val="both"/>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2450"/>
        <w:gridCol w:w="60"/>
        <w:gridCol w:w="60"/>
        <w:gridCol w:w="1220"/>
        <w:gridCol w:w="60"/>
        <w:gridCol w:w="60"/>
        <w:gridCol w:w="60"/>
        <w:gridCol w:w="1220"/>
        <w:gridCol w:w="75"/>
      </w:tblGrid>
      <w:tr>
        <w:trPr/>
        <w:tc>
          <w:tcPr>
            <w:tcW w:w="24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Periods ended</w:t>
              <w:br/>
              <w:t>June 30,</w:t>
            </w:r>
          </w:p>
        </w:tc>
        <w:tc>
          <w:tcPr>
            <w:tcW w:w="75" w:type="dxa"/>
            <w:tcBorders/>
            <w:vAlign w:val="center"/>
          </w:tcPr>
          <w:p>
            <w:pPr>
              <w:pStyle w:val="TableContents"/>
              <w:bidi w:val="0"/>
              <w:spacing w:before="0" w:after="283"/>
              <w:ind w:left="0" w:right="0" w:hanging="180"/>
              <w:jc w:val="left"/>
              <w:rPr/>
            </w:pPr>
            <w:r>
              <w:rPr/>
              <w:t> </w:t>
            </w:r>
          </w:p>
        </w:tc>
      </w:tr>
      <w:tr>
        <w:trPr/>
        <w:tc>
          <w:tcPr>
            <w:tcW w:w="245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450" w:type="dxa"/>
            <w:tcBorders/>
            <w:shd w:fill="CCEEFF" w:val="clear"/>
            <w:vAlign w:val="center"/>
          </w:tcPr>
          <w:p>
            <w:pPr>
              <w:pStyle w:val="TableContents"/>
              <w:bidi w:val="0"/>
              <w:spacing w:before="0" w:after="283"/>
              <w:jc w:val="left"/>
              <w:rPr/>
            </w:pPr>
            <w:r>
              <w:rPr/>
              <w:t>Dividend yield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450" w:type="dxa"/>
            <w:tcBorders/>
            <w:shd w:fill="FFFFFF" w:val="clear"/>
            <w:vAlign w:val="center"/>
          </w:tcPr>
          <w:p>
            <w:pPr>
              <w:pStyle w:val="TableContents"/>
              <w:bidi w:val="0"/>
              <w:spacing w:before="0" w:after="283"/>
              <w:jc w:val="left"/>
              <w:rPr/>
            </w:pPr>
            <w:r>
              <w:rPr/>
              <w:t>Expected volatility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 - 119%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 - 119%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450" w:type="dxa"/>
            <w:tcBorders/>
            <w:shd w:fill="CCEEFF" w:val="clear"/>
            <w:vAlign w:val="center"/>
          </w:tcPr>
          <w:p>
            <w:pPr>
              <w:pStyle w:val="TableContents"/>
              <w:bidi w:val="0"/>
              <w:spacing w:before="0" w:after="283"/>
              <w:jc w:val="left"/>
              <w:rPr/>
            </w:pPr>
            <w:r>
              <w:rPr/>
              <w:t>Risk-free interest rate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4.19% - 4.33%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 - 4.58%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450" w:type="dxa"/>
            <w:tcBorders/>
            <w:shd w:fill="FFFFFF" w:val="clear"/>
            <w:vAlign w:val="center"/>
          </w:tcPr>
          <w:p>
            <w:pPr>
              <w:pStyle w:val="TableContents"/>
              <w:bidi w:val="0"/>
              <w:spacing w:before="0" w:after="283"/>
              <w:jc w:val="left"/>
              <w:rPr/>
            </w:pPr>
            <w:r>
              <w:rPr/>
              <w:t>Exercise multiple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 – 2.80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275"/>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42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ORDINARY SHARES AND TREASURY SHARES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Group entered into an At Market Issuance Sales Agreement (the “2024 At Market Issuance Sales Agreement”) with B. Riley Securities, Inc., Cantor Fitzgerald &amp; Co., Needham &amp; Company, LLC, Roth Capital Partners, LLC, StockBlock Securities LLC and Rosenblatt Securities Inc. (the “Sales Agents”). Pursuant to the sales agreement, the Group has the right to sell to the Sales Agents from time to time of its Class A ordinary shares with a par value US$0.0000001 per share. During the six months ended June 30, 2026 and 2025, the Group newly issued nil and 6,076,388 Class A ordinary shares with net proceeds, after transaction costs, of approximately nil and US$118.5 million,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2024, the Group issued 18,587,360 Class A ordinary shares in connection with the private placement with Tether. The residual net transaction amount of US$87.4 million was recognized as an equity component. In May 2025, the Group issued 5,186,627 Class A ordinary shares in connection with the exercise of Tether Warrant for a total consideration of US$50.0 million. See Note 14.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and November 2024 and upon maturity in July 2025, the holder of the promissory note converted US$8.0 million and the remaining principal amount of US$15.0 million into 1,086,070 and 2,036,383 Class A ordinary shares, respectively, at a conversion price of US$7.3660 per share. Also see Note 13.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and December 2024, the Group issued 18,786,600 and 383,400 Class A ordinary shares, respectively. Of these, 12,514,600 and 255,400 shares, respectively, were included as part of the purchase consideration to the shareholders of FreeChain in connection with the FreeChain Acquisition, with a fair value of US$74.9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Group entered into an At Market Issuance Sales Agreement (the “2025 At Market Issuance Sales Agreement”)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(the “2025 Sales Agents”). Pursuant to the sales agreement, the Group has the right to sell to the 2025 Sales Agents from time to time of its Class A ordinary shares with a par value US$0.0000001 per share. During the six months ended June 30, 2026 and 2025, the Group newly issued 30,428,561 and nil Class A ordinary shares with net proceeds, after transaction costs, of approximately US$484.5 million and nil,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4,000,000 Class V ordinary shares were converted into an equal number of Class A ordinary shares. This transfer did not change the total number of shares issued and outstanding.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and 2025, the Group issued nil and 10,062,187 Class A ordinary shares, respectively, in connection with the settlement of the August 2024 convertible senior notes through conversion, exchange, and redemption. The notes were fully settled in September 2025. See Note 13.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and 2025, the Group issued 5,503,030 and 10,661,140 of the Group’s Class A ordinary shares to settle the repurchase of a certain principal amount of the November 2024 convertible senior notes. Also see Note 13.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Group issued 11,864,393 and 10,279,108 shares, respectively, which were reserved for future issuance upon the exercise of awards granted under the share incentive plans. As of June 30, 2026 and December 31, 2025, 8,228,390 and 7,258,176 of these shares, respectively, were considered not outstanding.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Class A ordinary shares is granted 1 vote and each share of Class V ordinary shares is granted 10 votes. All classes of ordinary shares are entitled to dividend and rank pari passu except for voting rights.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the board of directors of the Group approved the adoption of a share repurchase program (the “2024 Share Repurchase Program”) which authorized to repurchase Class A ordinary share of the Group up to US$10.0 million worth during the period from September 9, 2024 to September 8, 2025. During the six months ended June 30, 2026 and 2025, the Group purchased nil and 790,000 Class A ordinary share for consideration of approximately nil and US$9.1 million, respectively, under 2024 Share Repurchase Program. These shares were cancelled during the year ended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and May 2025, the board of directors of the Group approved the adoption of two share purchase programs (the “2025 Share Repurchase Program”) which authorized to repurchase Class A ordinary share of the Group up to US$20.0 million worth during the period from February 28, 2025 to February 28, 2026 and up to US$40.0 million worth during the period from May 30, 2025 to May 29, 2026. During the year ended December 31, 2025, the Group repurchased 4,964,711 Class A ordinary shares for consideration of approximately US$56.0 million and cancelled 1,600,000 treasury shares purchased under 2025 Share Repurchase Program. During the six months ended June 30, 2026, the Group repurchase 317,501 Class A ordinary shares for consideration of approximately US$4.0 million and cancelled 3,682,212 treasury shares purchased under 2025 Share Repurchase Program.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7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10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Cayman Islands. Under the current laws of the Cayman Islands, the Company is not subject to tax on income or capital gain. Additionally, upon payments of dividends to the shareholders, no Cayman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British Virgin Islands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British Virgin Islands, entities incorporated in the British Virgin Islands are not subject to tax on their income or capital gains.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Hong Kong regulations, Hong Kong entities are subject to a two-tiered income tax rate for taxable income earned in Hong Kong with effect from April 1, 2018. The first HK$2 million of profits earned by HK entity will be taxed at 8.25%, while the remaining profits will continue to be taxed at the existing 16.5% tax rate. In addition, to avoid abuse of the two-tiered income tax rate regime, each group of connected entities can nominate only one entity to benefit from the two-tiered income tax rate. Additionally, payments of dividends by the subsidiaries incorporated in Hong Kong to the Company are not subject to any Hong Kong withholding tax. Under the Hong Kong tax laws, the Company is exempted from the Hong Kong income tax on foreign-derived income.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States of America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located in US are subject to an income tax rate of 21% for taxable income earned in the 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Subsidiaries incorporated in Singapore are subject to enterprise income tax on their taxable income as determined under Singapore tax laws and accounting standards at a statutory tax rate of 17%.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incorporated in other jurisdictions are subject to the respective applicable corporate income tax rates of those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income taxes for the six months ended June 30, 2026 and 2025 are summarized as follows:</w:t>
      </w:r>
    </w:p>
    <w:p>
      <w:pPr>
        <w:pStyle w:val="TextBody"/>
        <w:bidi w:val="0"/>
        <w:spacing w:before="0" w:after="0"/>
        <w:ind w:left="0" w:right="0" w:hanging="0"/>
        <w:jc w:val="both"/>
        <w:rPr>
          <w:caps w:val="false"/>
          <w:smallCaps w:val="false"/>
        </w:rPr>
      </w:pPr>
      <w:r>
        <w:rPr>
          <w:caps w:val="false"/>
          <w:smallCaps w:val="false"/>
        </w:rPr>
        <w:t> </w:t>
      </w:r>
    </w:p>
    <w:tbl>
      <w:tblPr>
        <w:tblW w:w="5786" w:type="dxa"/>
        <w:jc w:val="left"/>
        <w:tblInd w:w="0" w:type="dxa"/>
        <w:tblLayout w:type="fixed"/>
        <w:tblCellMar>
          <w:top w:w="0" w:type="dxa"/>
          <w:left w:w="0" w:type="dxa"/>
          <w:bottom w:w="0" w:type="dxa"/>
          <w:right w:w="0" w:type="dxa"/>
        </w:tblCellMar>
      </w:tblPr>
      <w:tblGrid>
        <w:gridCol w:w="3740"/>
        <w:gridCol w:w="60"/>
        <w:gridCol w:w="67"/>
        <w:gridCol w:w="852"/>
        <w:gridCol w:w="107"/>
        <w:gridCol w:w="67"/>
        <w:gridCol w:w="67"/>
        <w:gridCol w:w="716"/>
        <w:gridCol w:w="110"/>
      </w:tblGrid>
      <w:tr>
        <w:trPr/>
        <w:tc>
          <w:tcPr>
            <w:tcW w:w="37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ind w:left="0" w:right="0" w:hanging="180"/>
              <w:jc w:val="left"/>
              <w:rPr/>
            </w:pPr>
            <w:r>
              <w:rPr/>
              <w:t> </w:t>
            </w:r>
          </w:p>
        </w:tc>
      </w:tr>
      <w:tr>
        <w:trPr/>
        <w:tc>
          <w:tcPr>
            <w:tcW w:w="374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3740" w:type="dxa"/>
            <w:tcBorders/>
            <w:shd w:fill="CCEEFF" w:val="clear"/>
            <w:vAlign w:val="center"/>
          </w:tcPr>
          <w:p>
            <w:pPr>
              <w:pStyle w:val="TableContents"/>
              <w:bidi w:val="0"/>
              <w:spacing w:before="0" w:after="283"/>
              <w:jc w:val="left"/>
              <w:rPr/>
            </w:pPr>
            <w:r>
              <w:rPr/>
              <w:t>Current income tax expense (benefits)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(84</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1,420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40" w:type="dxa"/>
            <w:tcBorders/>
            <w:shd w:fill="FFFFFF" w:val="clear"/>
            <w:vAlign w:val="center"/>
          </w:tcPr>
          <w:p>
            <w:pPr>
              <w:pStyle w:val="TableContents"/>
              <w:bidi w:val="0"/>
              <w:spacing w:before="0" w:after="283"/>
              <w:jc w:val="left"/>
              <w:rPr/>
            </w:pPr>
            <w:r>
              <w:rPr/>
              <w:t>Deferred income tax expense (benefits)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FFFFFF" w:val="clear"/>
            <w:tcMar>
              <w:bottom w:w="28" w:type="dxa"/>
            </w:tcMar>
            <w:vAlign w:val="center"/>
          </w:tcPr>
          <w:p>
            <w:pPr>
              <w:pStyle w:val="TableContents"/>
              <w:bidi w:val="0"/>
              <w:spacing w:before="0" w:after="283"/>
              <w:jc w:val="right"/>
              <w:rPr/>
            </w:pPr>
            <w:r>
              <w:rPr/>
              <w:t>(15,037</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(4,943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74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10" w:space="0" w:color="000000"/>
            </w:tcBorders>
            <w:shd w:fill="CCEEFF" w:val="clear"/>
            <w:tcMar>
              <w:bottom w:w="28" w:type="dxa"/>
            </w:tcMar>
            <w:vAlign w:val="center"/>
          </w:tcPr>
          <w:p>
            <w:pPr>
              <w:pStyle w:val="TableContents"/>
              <w:bidi w:val="0"/>
              <w:spacing w:before="0" w:after="283"/>
              <w:jc w:val="right"/>
              <w:rPr/>
            </w:pPr>
            <w:r>
              <w:rPr/>
              <w:t>(15,121</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double" w:sz="10" w:space="0" w:color="000000"/>
            </w:tcBorders>
            <w:shd w:fill="CCEEFF" w:val="clear"/>
            <w:tcMar>
              <w:bottom w:w="28" w:type="dxa"/>
            </w:tcMar>
            <w:vAlign w:val="center"/>
          </w:tcPr>
          <w:p>
            <w:pPr>
              <w:pStyle w:val="TableContents"/>
              <w:bidi w:val="0"/>
              <w:spacing w:before="0" w:after="283"/>
              <w:jc w:val="right"/>
              <w:rPr/>
            </w:pPr>
            <w:r>
              <w:rPr/>
              <w:t>(3,523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interim income tax reporting, the Group estimates its annual effective tax rate and applies it to its year-to-date ordinary income. The tax effects of unusual or infrequently occurring items, including changes in judgment about valuation allowances and effects of changes in tax laws or rates, are reflected in the interim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effective tax rate (“ETR”) for the six months ended June 30, 2026 and 2025 was 5.7% and (8.5%),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Group recorded balances of deferred tax assets of US$28.9 million and deferred tax liabilities of US$17.2 million. As of December 31, 2025, the Group recorded balances of deferred tax assets of US$8.7 million and deferred tax liabilities of US$12.0 million.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Realization of the deferred tax assets balances are dependent on factors including future reversals of existing taxable temporary differences and adequate future taxable income, exclusive of reversing deductible temporary differences and tax loss or credit carry forwards. The Group evaluates the potential realization of deferred tax assets on an entity-by-entity basis. As of June 30, 2026 and December 31, 2025, valuation allowances of US$57.7 million and US$23.1 million respectively, were provided against deferred tax assets in entities where it was determined it was more-likely-than-not that the benefits of the deferred tax assets will not be realized.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Group did not have any significant unrecognized uncertain tax positions.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such unused tax losses will expire as follows:</w:t>
      </w:r>
    </w:p>
    <w:p>
      <w:pPr>
        <w:pStyle w:val="TextBody"/>
        <w:bidi w:val="0"/>
        <w:spacing w:before="0" w:after="0"/>
        <w:ind w:left="0" w:right="0" w:firstLine="720"/>
        <w:jc w:val="left"/>
        <w:rPr>
          <w:caps w:val="false"/>
          <w:smallCaps w:val="false"/>
        </w:rPr>
      </w:pPr>
      <w:r>
        <w:rPr>
          <w:caps w:val="false"/>
          <w:smallCaps w:val="false"/>
        </w:rPr>
        <w:t> </w:t>
      </w:r>
    </w:p>
    <w:tbl>
      <w:tblPr>
        <w:tblW w:w="9359" w:type="dxa"/>
        <w:jc w:val="left"/>
        <w:tblInd w:w="0" w:type="dxa"/>
        <w:tblLayout w:type="fixed"/>
        <w:tblCellMar>
          <w:top w:w="0" w:type="dxa"/>
          <w:left w:w="0" w:type="dxa"/>
          <w:bottom w:w="28" w:type="dxa"/>
          <w:right w:w="0" w:type="dxa"/>
        </w:tblCellMar>
      </w:tblPr>
      <w:tblGrid>
        <w:gridCol w:w="2105"/>
        <w:gridCol w:w="60"/>
        <w:gridCol w:w="208"/>
        <w:gridCol w:w="2811"/>
        <w:gridCol w:w="60"/>
        <w:gridCol w:w="60"/>
        <w:gridCol w:w="4055"/>
      </w:tblGrid>
      <w:tr>
        <w:trPr/>
        <w:tc>
          <w:tcPr>
            <w:tcW w:w="2105" w:type="dxa"/>
            <w:tcBorders>
              <w:bottom w:val="single" w:sz="12" w:space="0" w:color="000000"/>
            </w:tcBorders>
            <w:vAlign w:val="center"/>
          </w:tcPr>
          <w:p>
            <w:pPr>
              <w:pStyle w:val="TableContents"/>
              <w:bidi w:val="0"/>
              <w:spacing w:before="0" w:after="283"/>
              <w:jc w:val="left"/>
              <w:rPr>
                <w:b/>
              </w:rPr>
            </w:pPr>
            <w:r>
              <w:rPr>
                <w:b/>
              </w:rPr>
              <w:t>Tax Jurisdiction</w:t>
            </w:r>
          </w:p>
        </w:tc>
        <w:tc>
          <w:tcPr>
            <w:tcW w:w="60" w:type="dxa"/>
            <w:tcBorders/>
            <w:tcMar>
              <w:bottom w:w="0" w:type="dxa"/>
            </w:tcMar>
            <w:vAlign w:val="center"/>
          </w:tcPr>
          <w:p>
            <w:pPr>
              <w:pStyle w:val="TableContents"/>
              <w:bidi w:val="0"/>
              <w:spacing w:before="0" w:after="283"/>
              <w:jc w:val="left"/>
              <w:rPr/>
            </w:pPr>
            <w:r>
              <w:rPr/>
              <w:t> </w:t>
            </w:r>
          </w:p>
        </w:tc>
        <w:tc>
          <w:tcPr>
            <w:tcW w:w="3019" w:type="dxa"/>
            <w:gridSpan w:val="2"/>
            <w:tcBorders>
              <w:bottom w:val="single" w:sz="12" w:space="0" w:color="000000"/>
            </w:tcBorders>
            <w:vAlign w:val="center"/>
          </w:tcPr>
          <w:p>
            <w:pPr>
              <w:pStyle w:val="TableContents"/>
              <w:bidi w:val="0"/>
              <w:spacing w:before="0" w:after="283"/>
              <w:jc w:val="center"/>
              <w:rPr>
                <w:b/>
              </w:rPr>
            </w:pPr>
            <w:r>
              <w:rPr>
                <w:b/>
              </w:rPr>
              <w:t>Amount in thousands of USD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5" w:type="dxa"/>
            <w:tcBorders>
              <w:bottom w:val="single" w:sz="12" w:space="0" w:color="000000"/>
            </w:tcBorders>
            <w:vAlign w:val="center"/>
          </w:tcPr>
          <w:p>
            <w:pPr>
              <w:pStyle w:val="TableContents"/>
              <w:bidi w:val="0"/>
              <w:spacing w:before="0" w:after="283"/>
              <w:jc w:val="center"/>
              <w:rPr>
                <w:b/>
              </w:rPr>
            </w:pPr>
            <w:r>
              <w:rPr>
                <w:b/>
              </w:rPr>
              <w:t>Earliest year of expiration if not utilized</w:t>
            </w:r>
          </w:p>
        </w:tc>
      </w:tr>
      <w:tr>
        <w:trPr/>
        <w:tc>
          <w:tcPr>
            <w:tcW w:w="2105" w:type="dxa"/>
            <w:tcBorders/>
            <w:shd w:fill="CCEEFF" w:val="clear"/>
            <w:tcMar>
              <w:bottom w:w="0" w:type="dxa"/>
            </w:tcMar>
            <w:vAlign w:val="center"/>
          </w:tcPr>
          <w:p>
            <w:pPr>
              <w:pStyle w:val="TableContents"/>
              <w:bidi w:val="0"/>
              <w:spacing w:before="0" w:after="283"/>
              <w:jc w:val="left"/>
              <w:rPr/>
            </w:pPr>
            <w:r>
              <w:rPr/>
              <w:t>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811" w:type="dxa"/>
            <w:tcBorders/>
            <w:shd w:fill="CCEEFF" w:val="clear"/>
            <w:tcMar>
              <w:bottom w:w="0" w:type="dxa"/>
            </w:tcMar>
            <w:vAlign w:val="center"/>
          </w:tcPr>
          <w:p>
            <w:pPr>
              <w:pStyle w:val="TableContents"/>
              <w:bidi w:val="0"/>
              <w:spacing w:before="0" w:after="283"/>
              <w:jc w:val="right"/>
              <w:rPr/>
            </w:pPr>
            <w:r>
              <w:rPr/>
              <w:t>137,477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5" w:type="dxa"/>
            <w:tcBorders/>
            <w:shd w:fill="CCEEFF" w:val="clear"/>
            <w:tcMar>
              <w:bottom w:w="0" w:type="dxa"/>
            </w:tcMar>
            <w:vAlign w:val="center"/>
          </w:tcPr>
          <w:p>
            <w:pPr>
              <w:pStyle w:val="TableContents"/>
              <w:bidi w:val="0"/>
              <w:spacing w:before="0" w:after="283"/>
              <w:jc w:val="center"/>
              <w:rPr/>
            </w:pPr>
            <w:r>
              <w:rPr/>
              <w:t>Indefinitely</w:t>
            </w:r>
          </w:p>
        </w:tc>
      </w:tr>
      <w:tr>
        <w:trPr/>
        <w:tc>
          <w:tcPr>
            <w:tcW w:w="2105" w:type="dxa"/>
            <w:tcBorders/>
            <w:shd w:fill="FFFFFF" w:val="clear"/>
            <w:tcMar>
              <w:bottom w:w="0" w:type="dxa"/>
            </w:tcMar>
            <w:vAlign w:val="center"/>
          </w:tcPr>
          <w:p>
            <w:pPr>
              <w:pStyle w:val="TableContents"/>
              <w:bidi w:val="0"/>
              <w:spacing w:before="0" w:after="283"/>
              <w:jc w:val="left"/>
              <w:rPr/>
            </w:pPr>
            <w:r>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811" w:type="dxa"/>
            <w:tcBorders/>
            <w:shd w:fill="FFFFFF" w:val="clear"/>
            <w:tcMar>
              <w:bottom w:w="0" w:type="dxa"/>
            </w:tcMar>
            <w:vAlign w:val="center"/>
          </w:tcPr>
          <w:p>
            <w:pPr>
              <w:pStyle w:val="TableContents"/>
              <w:bidi w:val="0"/>
              <w:spacing w:before="0" w:after="283"/>
              <w:jc w:val="right"/>
              <w:rPr/>
            </w:pPr>
            <w:r>
              <w:rPr/>
              <w:t>176,653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5" w:type="dxa"/>
            <w:tcBorders/>
            <w:shd w:fill="FFFFFF" w:val="clear"/>
            <w:tcMar>
              <w:bottom w:w="0" w:type="dxa"/>
            </w:tcMar>
            <w:vAlign w:val="center"/>
          </w:tcPr>
          <w:p>
            <w:pPr>
              <w:pStyle w:val="TableContents"/>
              <w:bidi w:val="0"/>
              <w:spacing w:before="0" w:after="283"/>
              <w:jc w:val="center"/>
              <w:rPr/>
            </w:pPr>
            <w:r>
              <w:rPr/>
              <w:t>Indefinitely</w:t>
            </w:r>
          </w:p>
        </w:tc>
      </w:tr>
      <w:tr>
        <w:trPr/>
        <w:tc>
          <w:tcPr>
            <w:tcW w:w="2105" w:type="dxa"/>
            <w:tcBorders/>
            <w:shd w:fill="CCEEFF" w:val="clear"/>
            <w:tcMar>
              <w:bottom w:w="0" w:type="dxa"/>
            </w:tcMar>
            <w:vAlign w:val="center"/>
          </w:tcPr>
          <w:p>
            <w:pPr>
              <w:pStyle w:val="TableContents"/>
              <w:bidi w:val="0"/>
              <w:spacing w:before="0" w:after="283"/>
              <w:jc w:val="left"/>
              <w:rPr/>
            </w:pPr>
            <w:r>
              <w:rPr/>
              <w:t>Bhutan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811" w:type="dxa"/>
            <w:tcBorders/>
            <w:shd w:fill="CCEEFF" w:val="clear"/>
            <w:tcMar>
              <w:bottom w:w="0" w:type="dxa"/>
            </w:tcMar>
            <w:vAlign w:val="center"/>
          </w:tcPr>
          <w:p>
            <w:pPr>
              <w:pStyle w:val="TableContents"/>
              <w:bidi w:val="0"/>
              <w:spacing w:before="0" w:after="283"/>
              <w:jc w:val="right"/>
              <w:rPr/>
            </w:pPr>
            <w:r>
              <w:rPr/>
              <w:t>71,116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5" w:type="dxa"/>
            <w:tcBorders/>
            <w:shd w:fill="CCEEFF" w:val="clear"/>
            <w:tcMar>
              <w:bottom w:w="0" w:type="dxa"/>
            </w:tcMar>
            <w:vAlign w:val="center"/>
          </w:tcPr>
          <w:p>
            <w:pPr>
              <w:pStyle w:val="TableContents"/>
              <w:bidi w:val="0"/>
              <w:spacing w:before="0" w:after="283"/>
              <w:jc w:val="center"/>
              <w:rPr/>
            </w:pPr>
            <w:r>
              <w:rPr/>
              <w:t>Indefinitely</w:t>
            </w:r>
          </w:p>
        </w:tc>
      </w:tr>
      <w:tr>
        <w:trPr/>
        <w:tc>
          <w:tcPr>
            <w:tcW w:w="2105" w:type="dxa"/>
            <w:tcBorders/>
            <w:shd w:fill="FFFFFF" w:val="clear"/>
            <w:tcMar>
              <w:bottom w:w="0" w:type="dxa"/>
            </w:tcMar>
            <w:vAlign w:val="center"/>
          </w:tcPr>
          <w:p>
            <w:pPr>
              <w:pStyle w:val="TableContents"/>
              <w:bidi w:val="0"/>
              <w:spacing w:before="0" w:after="283"/>
              <w:jc w:val="left"/>
              <w:rPr/>
            </w:pPr>
            <w:r>
              <w:rPr/>
              <w:t>Norway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811" w:type="dxa"/>
            <w:tcBorders/>
            <w:shd w:fill="FFFFFF" w:val="clear"/>
            <w:tcMar>
              <w:bottom w:w="0" w:type="dxa"/>
            </w:tcMar>
            <w:vAlign w:val="center"/>
          </w:tcPr>
          <w:p>
            <w:pPr>
              <w:pStyle w:val="TableContents"/>
              <w:bidi w:val="0"/>
              <w:spacing w:before="0" w:after="283"/>
              <w:jc w:val="right"/>
              <w:rPr/>
            </w:pPr>
            <w:r>
              <w:rPr/>
              <w:t>25,369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5" w:type="dxa"/>
            <w:tcBorders/>
            <w:shd w:fill="FFFFFF" w:val="clear"/>
            <w:tcMar>
              <w:bottom w:w="0" w:type="dxa"/>
            </w:tcMar>
            <w:vAlign w:val="center"/>
          </w:tcPr>
          <w:p>
            <w:pPr>
              <w:pStyle w:val="TableContents"/>
              <w:bidi w:val="0"/>
              <w:spacing w:before="0" w:after="283"/>
              <w:jc w:val="center"/>
              <w:rPr/>
            </w:pPr>
            <w:r>
              <w:rPr/>
              <w:t>Indefinitely</w:t>
            </w:r>
          </w:p>
        </w:tc>
      </w:tr>
      <w:tr>
        <w:trPr/>
        <w:tc>
          <w:tcPr>
            <w:tcW w:w="2105" w:type="dxa"/>
            <w:tcBorders/>
            <w:shd w:fill="CCEEFF" w:val="clear"/>
            <w:tcMar>
              <w:bottom w:w="0" w:type="dxa"/>
            </w:tcMar>
            <w:vAlign w:val="center"/>
          </w:tcPr>
          <w:p>
            <w:pPr>
              <w:pStyle w:val="TableContents"/>
              <w:bidi w:val="0"/>
              <w:spacing w:before="0" w:after="283"/>
              <w:jc w:val="left"/>
              <w:rPr/>
            </w:pPr>
            <w:r>
              <w:rPr/>
              <w:t>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811" w:type="dxa"/>
            <w:tcBorders/>
            <w:shd w:fill="CCEEFF" w:val="clear"/>
            <w:tcMar>
              <w:bottom w:w="0" w:type="dxa"/>
            </w:tcMar>
            <w:vAlign w:val="center"/>
          </w:tcPr>
          <w:p>
            <w:pPr>
              <w:pStyle w:val="TableContents"/>
              <w:bidi w:val="0"/>
              <w:spacing w:before="0" w:after="283"/>
              <w:jc w:val="right"/>
              <w:rPr/>
            </w:pPr>
            <w:r>
              <w:rPr/>
              <w:t>8,679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5" w:type="dxa"/>
            <w:tcBorders/>
            <w:shd w:fill="CCEEFF" w:val="clear"/>
            <w:tcMar>
              <w:bottom w:w="0" w:type="dxa"/>
            </w:tcMar>
            <w:vAlign w:val="center"/>
          </w:tcPr>
          <w:p>
            <w:pPr>
              <w:pStyle w:val="TableContents"/>
              <w:bidi w:val="0"/>
              <w:spacing w:before="0" w:after="283"/>
              <w:jc w:val="center"/>
              <w:rPr/>
            </w:pPr>
            <w:r>
              <w:rPr/>
              <w:t>2036</w:t>
            </w:r>
          </w:p>
        </w:tc>
      </w:tr>
      <w:tr>
        <w:trPr/>
        <w:tc>
          <w:tcPr>
            <w:tcW w:w="2105" w:type="dxa"/>
            <w:tcBorders/>
            <w:shd w:fill="FFFFFF" w:val="clear"/>
            <w:tcMar>
              <w:bottom w:w="0" w:type="dxa"/>
            </w:tcMar>
            <w:vAlign w:val="center"/>
          </w:tcPr>
          <w:p>
            <w:pPr>
              <w:pStyle w:val="TableContents"/>
              <w:bidi w:val="0"/>
              <w:spacing w:before="0" w:after="283"/>
              <w:jc w:val="left"/>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811" w:type="dxa"/>
            <w:tcBorders/>
            <w:shd w:fill="FFFFFF" w:val="clear"/>
            <w:tcMar>
              <w:bottom w:w="0" w:type="dxa"/>
            </w:tcMar>
            <w:vAlign w:val="center"/>
          </w:tcPr>
          <w:p>
            <w:pPr>
              <w:pStyle w:val="TableContents"/>
              <w:bidi w:val="0"/>
              <w:spacing w:before="0" w:after="283"/>
              <w:jc w:val="right"/>
              <w:rPr/>
            </w:pPr>
            <w:r>
              <w:rPr/>
              <w:t>4,169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5" w:type="dxa"/>
            <w:tcBorders/>
            <w:shd w:fill="FFFFFF" w:val="clear"/>
            <w:tcMar>
              <w:bottom w:w="0" w:type="dxa"/>
            </w:tcMar>
            <w:vAlign w:val="center"/>
          </w:tcPr>
          <w:p>
            <w:pPr>
              <w:pStyle w:val="TableContents"/>
              <w:bidi w:val="0"/>
              <w:spacing w:before="0" w:after="283"/>
              <w:jc w:val="center"/>
              <w:rPr/>
            </w:pPr>
            <w:r>
              <w:rPr/>
              <w:t>Indefinitely</w:t>
            </w:r>
          </w:p>
        </w:tc>
      </w:tr>
      <w:tr>
        <w:trPr/>
        <w:tc>
          <w:tcPr>
            <w:tcW w:w="2105" w:type="dxa"/>
            <w:tcBorders/>
            <w:shd w:fill="CCEEFF" w:val="clear"/>
            <w:tcMar>
              <w:bottom w:w="0" w:type="dxa"/>
            </w:tcMar>
            <w:vAlign w:val="center"/>
          </w:tcPr>
          <w:p>
            <w:pPr>
              <w:pStyle w:val="TableContents"/>
              <w:bidi w:val="0"/>
              <w:spacing w:before="0" w:after="283"/>
              <w:jc w:val="left"/>
              <w:rPr/>
            </w:pPr>
            <w:r>
              <w:rPr/>
              <w:t>Ethiopia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811" w:type="dxa"/>
            <w:tcBorders/>
            <w:shd w:fill="CCEEFF" w:val="clear"/>
            <w:tcMar>
              <w:bottom w:w="0" w:type="dxa"/>
            </w:tcMar>
            <w:vAlign w:val="center"/>
          </w:tcPr>
          <w:p>
            <w:pPr>
              <w:pStyle w:val="TableContents"/>
              <w:bidi w:val="0"/>
              <w:spacing w:before="0" w:after="283"/>
              <w:jc w:val="right"/>
              <w:rPr/>
            </w:pPr>
            <w:r>
              <w:rPr/>
              <w:t>1,919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5" w:type="dxa"/>
            <w:tcBorders/>
            <w:shd w:fill="CCEEFF" w:val="clear"/>
            <w:tcMar>
              <w:bottom w:w="0" w:type="dxa"/>
            </w:tcMar>
            <w:vAlign w:val="center"/>
          </w:tcPr>
          <w:p>
            <w:pPr>
              <w:pStyle w:val="TableContents"/>
              <w:bidi w:val="0"/>
              <w:spacing w:before="0" w:after="283"/>
              <w:jc w:val="center"/>
              <w:rPr/>
            </w:pPr>
            <w:r>
              <w:rPr/>
              <w:t>2030</w:t>
            </w:r>
          </w:p>
        </w:tc>
      </w:tr>
      <w:tr>
        <w:trPr/>
        <w:tc>
          <w:tcPr>
            <w:tcW w:w="2105" w:type="dxa"/>
            <w:tcBorders/>
            <w:shd w:fill="FFFFFF" w:val="clear"/>
            <w:tcMar>
              <w:bottom w:w="0" w:type="dxa"/>
            </w:tcMar>
            <w:vAlign w:val="center"/>
          </w:tcPr>
          <w:p>
            <w:pPr>
              <w:pStyle w:val="TableContents"/>
              <w:bidi w:val="0"/>
              <w:spacing w:before="0" w:after="283"/>
              <w:jc w:val="left"/>
              <w:rPr/>
            </w:pPr>
            <w:r>
              <w:rPr/>
              <w:t>United Arab Emirates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2811" w:type="dxa"/>
            <w:tcBorders/>
            <w:shd w:fill="FFFFFF" w:val="clear"/>
            <w:tcMar>
              <w:bottom w:w="0" w:type="dxa"/>
            </w:tcMar>
            <w:vAlign w:val="center"/>
          </w:tcPr>
          <w:p>
            <w:pPr>
              <w:pStyle w:val="TableContents"/>
              <w:bidi w:val="0"/>
              <w:spacing w:before="0" w:after="283"/>
              <w:jc w:val="right"/>
              <w:rPr/>
            </w:pPr>
            <w:r>
              <w:rPr/>
              <w:t>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5" w:type="dxa"/>
            <w:tcBorders/>
            <w:shd w:fill="FFFFFF" w:val="clear"/>
            <w:tcMar>
              <w:bottom w:w="0" w:type="dxa"/>
            </w:tcMar>
            <w:vAlign w:val="center"/>
          </w:tcPr>
          <w:p>
            <w:pPr>
              <w:pStyle w:val="TableContents"/>
              <w:bidi w:val="0"/>
              <w:spacing w:before="0" w:after="283"/>
              <w:jc w:val="center"/>
              <w:rPr/>
            </w:pPr>
            <w:r>
              <w:rPr/>
              <w:t>Indefinitely</w:t>
            </w:r>
          </w:p>
        </w:tc>
      </w:tr>
      <w:tr>
        <w:trPr/>
        <w:tc>
          <w:tcPr>
            <w:tcW w:w="2105" w:type="dxa"/>
            <w:tcBorders/>
            <w:shd w:fill="CCEEFF" w:val="clear"/>
            <w:tcMar>
              <w:bottom w:w="0" w:type="dxa"/>
            </w:tcMar>
            <w:vAlign w:val="center"/>
          </w:tcPr>
          <w:p>
            <w:pPr>
              <w:pStyle w:val="TableContents"/>
              <w:bidi w:val="0"/>
              <w:spacing w:before="0" w:after="283"/>
              <w:jc w:val="left"/>
              <w:rPr/>
            </w:pPr>
            <w:r>
              <w:rPr/>
              <w:t>Vietnam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2811" w:type="dxa"/>
            <w:tcBorders/>
            <w:shd w:fill="CCEEFF" w:val="clear"/>
            <w:tcMar>
              <w:bottom w:w="0" w:type="dxa"/>
            </w:tcMar>
            <w:vAlign w:val="center"/>
          </w:tcPr>
          <w:p>
            <w:pPr>
              <w:pStyle w:val="TableContents"/>
              <w:bidi w:val="0"/>
              <w:spacing w:before="0" w:after="283"/>
              <w:jc w:val="right"/>
              <w:rPr/>
            </w:pPr>
            <w:r>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5" w:type="dxa"/>
            <w:tcBorders/>
            <w:shd w:fill="CCEEFF" w:val="clear"/>
            <w:tcMar>
              <w:bottom w:w="0" w:type="dxa"/>
            </w:tcMar>
            <w:vAlign w:val="center"/>
          </w:tcPr>
          <w:p>
            <w:pPr>
              <w:pStyle w:val="TableContents"/>
              <w:bidi w:val="0"/>
              <w:spacing w:before="0" w:after="283"/>
              <w:jc w:val="center"/>
              <w:rPr/>
            </w:pPr>
            <w:r>
              <w:rPr/>
              <w:t>2031</w:t>
            </w:r>
          </w:p>
        </w:tc>
      </w:tr>
      <w:tr>
        <w:trPr/>
        <w:tc>
          <w:tcPr>
            <w:tcW w:w="2105" w:type="dxa"/>
            <w:tcBorders/>
            <w:shd w:fill="FFFFFF" w:val="clear"/>
            <w:tcMar>
              <w:bottom w:w="0" w:type="dxa"/>
            </w:tcMar>
            <w:vAlign w:val="center"/>
          </w:tcPr>
          <w:p>
            <w:pPr>
              <w:pStyle w:val="TableContents"/>
              <w:bidi w:val="0"/>
              <w:spacing w:before="0" w:after="283"/>
              <w:jc w:val="left"/>
              <w:rPr/>
            </w:pPr>
            <w:r>
              <w:rPr/>
              <w:t>Thailand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12" w:space="0" w:color="000000"/>
            </w:tcBorders>
            <w:shd w:fill="FFFFFF" w:val="clear"/>
            <w:vAlign w:val="center"/>
          </w:tcPr>
          <w:p>
            <w:pPr>
              <w:pStyle w:val="TableContents"/>
              <w:bidi w:val="0"/>
              <w:spacing w:before="0" w:after="283"/>
              <w:jc w:val="left"/>
              <w:rPr/>
            </w:pPr>
            <w:r>
              <w:rPr/>
              <w:t> </w:t>
            </w:r>
          </w:p>
        </w:tc>
        <w:tc>
          <w:tcPr>
            <w:tcW w:w="2811" w:type="dxa"/>
            <w:tcBorders>
              <w:bottom w:val="single" w:sz="12" w:space="0" w:color="000000"/>
            </w:tcBorders>
            <w:shd w:fill="FFFFFF" w:val="clear"/>
            <w:vAlign w:val="center"/>
          </w:tcPr>
          <w:p>
            <w:pPr>
              <w:pStyle w:val="TableContents"/>
              <w:bidi w:val="0"/>
              <w:spacing w:before="0" w:after="283"/>
              <w:jc w:val="righ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5" w:type="dxa"/>
            <w:tcBorders/>
            <w:shd w:fill="FFFFFF" w:val="clear"/>
            <w:tcMar>
              <w:bottom w:w="0" w:type="dxa"/>
            </w:tcMar>
            <w:vAlign w:val="center"/>
          </w:tcPr>
          <w:p>
            <w:pPr>
              <w:pStyle w:val="TableContents"/>
              <w:bidi w:val="0"/>
              <w:spacing w:before="0" w:after="283"/>
              <w:jc w:val="center"/>
              <w:rPr/>
            </w:pPr>
            <w:r>
              <w:rPr/>
              <w:t>2028</w:t>
            </w:r>
          </w:p>
        </w:tc>
      </w:tr>
      <w:tr>
        <w:trPr/>
        <w:tc>
          <w:tcPr>
            <w:tcW w:w="210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double" w:sz="10" w:space="0" w:color="000000"/>
            </w:tcBorders>
            <w:shd w:fill="CCEEFF" w:val="clear"/>
            <w:vAlign w:val="center"/>
          </w:tcPr>
          <w:p>
            <w:pPr>
              <w:pStyle w:val="TableContents"/>
              <w:bidi w:val="0"/>
              <w:spacing w:before="0" w:after="283"/>
              <w:jc w:val="left"/>
              <w:rPr/>
            </w:pPr>
            <w:r>
              <w:rPr/>
              <w:t> </w:t>
            </w:r>
          </w:p>
        </w:tc>
        <w:tc>
          <w:tcPr>
            <w:tcW w:w="2811" w:type="dxa"/>
            <w:tcBorders>
              <w:bottom w:val="double" w:sz="10" w:space="0" w:color="000000"/>
            </w:tcBorders>
            <w:shd w:fill="CCEEFF" w:val="clear"/>
            <w:vAlign w:val="center"/>
          </w:tcPr>
          <w:p>
            <w:pPr>
              <w:pStyle w:val="TableContents"/>
              <w:bidi w:val="0"/>
              <w:spacing w:before="0" w:after="283"/>
              <w:jc w:val="right"/>
              <w:rPr>
                <w:b/>
              </w:rPr>
            </w:pPr>
            <w:r>
              <w:rPr>
                <w:b/>
              </w:rPr>
              <w:t>425,671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7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3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 forth the significant related party and the relationship with the Group:</w:t>
      </w:r>
    </w:p>
    <w:p>
      <w:pPr>
        <w:pStyle w:val="TextBody"/>
        <w:bidi w:val="0"/>
        <w:spacing w:before="0" w:after="0"/>
        <w:ind w:left="0" w:right="0" w:firstLine="48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35"/>
        <w:gridCol w:w="60"/>
        <w:gridCol w:w="5410"/>
      </w:tblGrid>
      <w:tr>
        <w:trPr/>
        <w:tc>
          <w:tcPr>
            <w:tcW w:w="473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related party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Group</w:t>
            </w:r>
          </w:p>
        </w:tc>
      </w:tr>
      <w:tr>
        <w:trPr/>
        <w:tc>
          <w:tcPr>
            <w:tcW w:w="47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Matrix Finance and Technologies Holding Company and its subsidiaries (“Matrixport Group”, rebranded as the “BIT Group”)</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4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controlling person is the co-founder and chairman of the board of directors of BIT Group and has significant influence over BIT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assets and liabilities with the related parties are as follows:</w:t>
      </w:r>
    </w:p>
    <w:p>
      <w:pPr>
        <w:pStyle w:val="TextBody"/>
        <w:bidi w:val="0"/>
        <w:spacing w:before="0" w:after="0"/>
        <w:ind w:left="0" w:right="0" w:firstLine="482"/>
        <w:jc w:val="both"/>
        <w:rPr>
          <w:caps w:val="false"/>
          <w:smallCaps w:val="false"/>
        </w:rPr>
      </w:pPr>
      <w:r>
        <w:rPr>
          <w:caps w:val="false"/>
          <w:smallCaps w:val="false"/>
        </w:rPr>
        <w:t> </w:t>
      </w:r>
    </w:p>
    <w:tbl>
      <w:tblPr>
        <w:tblW w:w="7858" w:type="dxa"/>
        <w:jc w:val="left"/>
        <w:tblInd w:w="0" w:type="dxa"/>
        <w:tblLayout w:type="fixed"/>
        <w:tblCellMar>
          <w:top w:w="0" w:type="dxa"/>
          <w:left w:w="0" w:type="dxa"/>
          <w:bottom w:w="0" w:type="dxa"/>
          <w:right w:w="0" w:type="dxa"/>
        </w:tblCellMar>
      </w:tblPr>
      <w:tblGrid>
        <w:gridCol w:w="5315"/>
        <w:gridCol w:w="60"/>
        <w:gridCol w:w="61"/>
        <w:gridCol w:w="813"/>
        <w:gridCol w:w="60"/>
        <w:gridCol w:w="60"/>
        <w:gridCol w:w="98"/>
        <w:gridCol w:w="1316"/>
        <w:gridCol w:w="75"/>
      </w:tblGrid>
      <w:tr>
        <w:trPr/>
        <w:tc>
          <w:tcPr>
            <w:tcW w:w="53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vAlign w:val="center"/>
          </w:tcPr>
          <w:p>
            <w:pPr>
              <w:pStyle w:val="TableContents"/>
              <w:bidi w:val="0"/>
              <w:spacing w:before="0" w:after="283"/>
              <w:jc w:val="left"/>
              <w:rPr>
                <w:b/>
              </w:rPr>
            </w:pPr>
            <w:r>
              <w:rPr>
                <w:b/>
              </w:rPr>
              <w:t>Due from related parties</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Accounts receivables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313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Other receivables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9,341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FFFFFF" w:val="clear"/>
            <w:tcMar>
              <w:bottom w:w="28" w:type="dxa"/>
            </w:tcMar>
            <w:vAlign w:val="center"/>
          </w:tcPr>
          <w:p>
            <w:pPr>
              <w:pStyle w:val="TableContents"/>
              <w:bidi w:val="0"/>
              <w:spacing w:before="0" w:after="283"/>
              <w:jc w:val="right"/>
              <w:rPr/>
            </w:pPr>
            <w:r>
              <w:rPr/>
              <w:t>9,341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r>
              <w:rPr>
                <w:b/>
              </w:rPr>
              <w:t>Total due from related parties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CCEEFF" w:val="clear"/>
            <w:tcMar>
              <w:bottom w:w="28" w:type="dxa"/>
            </w:tcMar>
            <w:vAlign w:val="center"/>
          </w:tcPr>
          <w:p>
            <w:pPr>
              <w:pStyle w:val="TableContents"/>
              <w:bidi w:val="0"/>
              <w:spacing w:before="0" w:after="283"/>
              <w:jc w:val="right"/>
              <w:rPr/>
            </w:pPr>
            <w:r>
              <w:rPr/>
              <w:t>9,659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CCEEFF" w:val="clear"/>
            <w:tcMar>
              <w:bottom w:w="28" w:type="dxa"/>
            </w:tcMar>
            <w:vAlign w:val="center"/>
          </w:tcPr>
          <w:p>
            <w:pPr>
              <w:pStyle w:val="TableContents"/>
              <w:bidi w:val="0"/>
              <w:spacing w:before="0" w:after="283"/>
              <w:jc w:val="right"/>
              <w:rPr/>
            </w:pPr>
            <w:r>
              <w:rPr/>
              <w:t>9,654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r>
              <w:rPr>
                <w:b/>
              </w:rPr>
              <w:t>Digital assets receivable from a related party</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Digital assets – receivables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162,171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FFFFFF" w:val="clear"/>
            <w:tcMar>
              <w:bottom w:w="28" w:type="dxa"/>
            </w:tcMar>
            <w:vAlign w:val="center"/>
          </w:tcPr>
          <w:p>
            <w:pPr>
              <w:pStyle w:val="TableContents"/>
              <w:bidi w:val="0"/>
              <w:spacing w:before="0" w:after="283"/>
              <w:jc w:val="right"/>
              <w:rPr/>
            </w:pPr>
            <w:r>
              <w:rPr/>
              <w:t>135,558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r>
              <w:rPr>
                <w:b/>
              </w:rPr>
              <w:t>Total digital assets -receivables from a related party</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CCEEFF" w:val="clear"/>
            <w:tcMar>
              <w:bottom w:w="28" w:type="dxa"/>
            </w:tcMar>
            <w:vAlign w:val="center"/>
          </w:tcPr>
          <w:p>
            <w:pPr>
              <w:pStyle w:val="TableContents"/>
              <w:bidi w:val="0"/>
              <w:spacing w:before="0" w:after="283"/>
              <w:jc w:val="right"/>
              <w:rPr/>
            </w:pPr>
            <w:r>
              <w:rPr/>
              <w:t>162,171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CCEEFF" w:val="clear"/>
            <w:tcMar>
              <w:bottom w:w="28" w:type="dxa"/>
            </w:tcMar>
            <w:vAlign w:val="center"/>
          </w:tcPr>
          <w:p>
            <w:pPr>
              <w:pStyle w:val="TableContents"/>
              <w:bidi w:val="0"/>
              <w:spacing w:before="0" w:after="283"/>
              <w:jc w:val="right"/>
              <w:rPr/>
            </w:pPr>
            <w:r>
              <w:rPr/>
              <w:t>135,558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r>
              <w:rPr>
                <w:b/>
              </w:rPr>
              <w:t>Due to a related party</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Other payables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5,225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FFFFFF" w:val="clear"/>
            <w:tcMar>
              <w:bottom w:w="28" w:type="dxa"/>
            </w:tcMar>
            <w:vAlign w:val="center"/>
          </w:tcPr>
          <w:p>
            <w:pPr>
              <w:pStyle w:val="TableContents"/>
              <w:bidi w:val="0"/>
              <w:spacing w:before="0" w:after="283"/>
              <w:jc w:val="right"/>
              <w:rPr/>
            </w:pPr>
            <w:r>
              <w:rPr/>
              <w:t>4,340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r>
              <w:rPr>
                <w:b/>
              </w:rPr>
              <w:t>Total due to a related party</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CCEEFF" w:val="clear"/>
            <w:tcMar>
              <w:bottom w:w="28" w:type="dxa"/>
            </w:tcMar>
            <w:vAlign w:val="center"/>
          </w:tcPr>
          <w:p>
            <w:pPr>
              <w:pStyle w:val="TableContents"/>
              <w:bidi w:val="0"/>
              <w:spacing w:before="0" w:after="283"/>
              <w:jc w:val="right"/>
              <w:rPr/>
            </w:pPr>
            <w:r>
              <w:rPr/>
              <w:t>5,225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CCEEFF" w:val="clear"/>
            <w:tcMar>
              <w:bottom w:w="28" w:type="dxa"/>
            </w:tcMar>
            <w:vAlign w:val="center"/>
          </w:tcPr>
          <w:p>
            <w:pPr>
              <w:pStyle w:val="TableContents"/>
              <w:bidi w:val="0"/>
              <w:spacing w:before="0" w:after="283"/>
              <w:jc w:val="right"/>
              <w:rPr/>
            </w:pPr>
            <w:r>
              <w:rPr/>
              <w:t>4,340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b/>
              </w:rPr>
            </w:pPr>
            <w:r>
              <w:rPr>
                <w:b/>
              </w:rPr>
              <w:t>Borrowings from a related party</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Short-term borrowings</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117,548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Current portion of long-term borrowings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373,500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275,000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Noncurrent portion of long-term borrowings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FFFFFF" w:val="clear"/>
            <w:tcMar>
              <w:bottom w:w="28" w:type="dxa"/>
            </w:tcMar>
            <w:vAlign w:val="center"/>
          </w:tcPr>
          <w:p>
            <w:pPr>
              <w:pStyle w:val="TableContents"/>
              <w:bidi w:val="0"/>
              <w:spacing w:before="0" w:after="283"/>
              <w:jc w:val="right"/>
              <w:rPr/>
            </w:pPr>
            <w:r>
              <w:rPr/>
              <w:t>142,083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FFFFFF" w:val="clear"/>
            <w:tcMar>
              <w:bottom w:w="28" w:type="dxa"/>
            </w:tcMar>
            <w:vAlign w:val="center"/>
          </w:tcPr>
          <w:p>
            <w:pPr>
              <w:pStyle w:val="TableContents"/>
              <w:bidi w:val="0"/>
              <w:spacing w:before="0" w:after="283"/>
              <w:jc w:val="right"/>
              <w:rPr/>
            </w:pPr>
            <w:r>
              <w:rPr/>
              <w:t>246,831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borrowings from a related party</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double" w:sz="10" w:space="0" w:color="000000"/>
            </w:tcBorders>
            <w:shd w:fill="CCEEFF" w:val="clear"/>
            <w:tcMar>
              <w:bottom w:w="28" w:type="dxa"/>
            </w:tcMar>
            <w:vAlign w:val="center"/>
          </w:tcPr>
          <w:p>
            <w:pPr>
              <w:pStyle w:val="TableContents"/>
              <w:bidi w:val="0"/>
              <w:spacing w:before="0" w:after="283"/>
              <w:jc w:val="right"/>
              <w:rPr/>
            </w:pPr>
            <w:r>
              <w:rPr/>
              <w:t>633,131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CCEEFF" w:val="clear"/>
            <w:tcMar>
              <w:bottom w:w="28" w:type="dxa"/>
            </w:tcMar>
            <w:vAlign w:val="center"/>
          </w:tcPr>
          <w:p>
            <w:pPr>
              <w:pStyle w:val="TableContents"/>
              <w:bidi w:val="0"/>
              <w:spacing w:before="0" w:after="283"/>
              <w:jc w:val="right"/>
              <w:rPr/>
            </w:pPr>
            <w:r>
              <w:rPr/>
              <w:t>521,831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transactions with the related party are as follows:</w:t>
      </w:r>
    </w:p>
    <w:p>
      <w:pPr>
        <w:pStyle w:val="TextBody"/>
        <w:bidi w:val="0"/>
        <w:spacing w:before="0" w:after="0"/>
        <w:ind w:left="0" w:right="0" w:firstLine="482"/>
        <w:jc w:val="both"/>
        <w:rPr>
          <w:caps w:val="false"/>
          <w:smallCaps w:val="false"/>
        </w:rPr>
      </w:pPr>
      <w:r>
        <w:rPr>
          <w:caps w:val="false"/>
          <w:smallCaps w:val="false"/>
        </w:rPr>
        <w:t> </w:t>
      </w:r>
    </w:p>
    <w:tbl>
      <w:tblPr>
        <w:tblW w:w="6683" w:type="dxa"/>
        <w:jc w:val="left"/>
        <w:tblInd w:w="0" w:type="dxa"/>
        <w:tblLayout w:type="fixed"/>
        <w:tblCellMar>
          <w:top w:w="0" w:type="dxa"/>
          <w:left w:w="0" w:type="dxa"/>
          <w:bottom w:w="0" w:type="dxa"/>
          <w:right w:w="0" w:type="dxa"/>
        </w:tblCellMar>
      </w:tblPr>
      <w:tblGrid>
        <w:gridCol w:w="4670"/>
        <w:gridCol w:w="60"/>
        <w:gridCol w:w="76"/>
        <w:gridCol w:w="863"/>
        <w:gridCol w:w="76"/>
        <w:gridCol w:w="76"/>
        <w:gridCol w:w="76"/>
        <w:gridCol w:w="711"/>
        <w:gridCol w:w="7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467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Provide service to related parties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657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617</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Receive service from a related party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139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199</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Interest expense on borrowings from a related party</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35,184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3,016</w:t>
            </w:r>
          </w:p>
        </w:tc>
        <w:tc>
          <w:tcPr>
            <w:tcW w:w="75" w:type="dxa"/>
            <w:tcBorders/>
            <w:shd w:fill="CCEEFF" w:val="clear"/>
            <w:vAlign w:val="center"/>
          </w:tcPr>
          <w:p>
            <w:pPr>
              <w:pStyle w:val="TableContents"/>
              <w:bidi w:val="0"/>
              <w:spacing w:before="0" w:after="283"/>
              <w:jc w:val="right"/>
              <w:rPr/>
            </w:pPr>
            <w:r>
              <w:rPr/>
              <w:t> </w:t>
            </w:r>
          </w:p>
        </w:tc>
      </w:tr>
      <w:tr>
        <w:trPr/>
        <w:tc>
          <w:tcPr>
            <w:tcW w:w="4670" w:type="dxa"/>
            <w:tcBorders/>
            <w:shd w:fill="FFFFFF" w:val="clear"/>
            <w:vAlign w:val="center"/>
          </w:tcPr>
          <w:p>
            <w:pPr>
              <w:pStyle w:val="TableContents"/>
              <w:bidi w:val="0"/>
              <w:spacing w:before="0" w:after="283"/>
              <w:jc w:val="left"/>
              <w:rPr/>
            </w:pPr>
            <w:r>
              <w:rPr/>
              <w:t>- 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3,606</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2,503</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Realized losses on derivative instruments</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6,442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Mainly related to the hosting service provided by the Group for year ended December 31, 2024. The Group did not provide any hosting service to any related party for the periods ended June 30, 2025 and 2026.</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60"/>
        <w:gridCol w:w="25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5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 Assets Collateralized Loan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April 2025, the Group has entered into a series of loan agreements with BIT Group (collectively, the “BIT Assets Collateralized Loan”) on substantially the same terms, as summarised below. Loans drawn under the facilities bear a variable interest rate equal to 9.0% plus a market-based reference rate and are repayable in fixed monthly instalments over a 24-month term. The facilities are collateralized by assets of the Group, including mining rigs, inventories, datacenter assets and such other collateral as may be mutually agreed between the parties, and are maintained in compliance with an agreed loan-to-value ratio. The facilities entered into in 2026 were fully drawn down as of June 30, 2026. Refer to Note 10 for further details. </w:t>
      </w:r>
    </w:p>
    <w:p>
      <w:pPr>
        <w:pStyle w:val="TextBody"/>
        <w:bidi w:val="0"/>
        <w:spacing w:before="0" w:after="0"/>
        <w:ind w:left="482" w:right="0" w:hanging="0"/>
        <w:jc w:val="both"/>
        <w:rPr>
          <w:caps w:val="false"/>
          <w:smallCaps w:val="false"/>
        </w:rPr>
      </w:pPr>
      <w:r>
        <w:rPr>
          <w:caps w:val="false"/>
          <w:smallCaps w:val="false"/>
        </w:rPr>
        <w:t> </w:t>
      </w:r>
    </w:p>
    <w:tbl>
      <w:tblPr>
        <w:tblW w:w="5489" w:type="dxa"/>
        <w:jc w:val="left"/>
        <w:tblInd w:w="0" w:type="dxa"/>
        <w:tblLayout w:type="fixed"/>
        <w:tblCellMar>
          <w:top w:w="0" w:type="dxa"/>
          <w:left w:w="0" w:type="dxa"/>
          <w:bottom w:w="28" w:type="dxa"/>
          <w:right w:w="0" w:type="dxa"/>
        </w:tblCellMar>
      </w:tblPr>
      <w:tblGrid>
        <w:gridCol w:w="2495"/>
        <w:gridCol w:w="60"/>
        <w:gridCol w:w="1640"/>
        <w:gridCol w:w="60"/>
        <w:gridCol w:w="157"/>
        <w:gridCol w:w="1002"/>
        <w:gridCol w:w="75"/>
      </w:tblGrid>
      <w:tr>
        <w:trPr/>
        <w:tc>
          <w:tcPr>
            <w:tcW w:w="2495" w:type="dxa"/>
            <w:tcBorders>
              <w:bottom w:val="single" w:sz="12" w:space="0" w:color="000000"/>
            </w:tcBorders>
            <w:vAlign w:val="center"/>
          </w:tcPr>
          <w:p>
            <w:pPr>
              <w:pStyle w:val="TableContents"/>
              <w:bidi w:val="0"/>
              <w:spacing w:before="0" w:after="283"/>
              <w:jc w:val="left"/>
              <w:rPr>
                <w:b/>
              </w:rPr>
            </w:pPr>
            <w:r>
              <w:rPr>
                <w:b/>
              </w:rPr>
              <w:t>Contract</w:t>
            </w:r>
          </w:p>
        </w:tc>
        <w:tc>
          <w:tcPr>
            <w:tcW w:w="6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b/>
              </w:rPr>
            </w:pPr>
            <w:r>
              <w:rPr>
                <w:b/>
              </w:rPr>
              <w:t>Agreement date</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b/>
              </w:rPr>
            </w:pPr>
            <w:r>
              <w:rPr>
                <w:b/>
              </w:rPr>
              <w:t>Maximum</w:t>
              <w:br/>
              <w:t>facility</w:t>
              <w:br/>
              <w:t>(In millions</w:t>
              <w:br/>
              <w:t>of USD)</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Contract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pPr>
            <w:r>
              <w:rPr/>
              <w:t>April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002" w:type="dxa"/>
            <w:tcBorders/>
            <w:shd w:fill="CCEEFF" w:val="clear"/>
            <w:tcMar>
              <w:bottom w:w="0" w:type="dxa"/>
            </w:tcMar>
            <w:vAlign w:val="center"/>
          </w:tcPr>
          <w:p>
            <w:pPr>
              <w:pStyle w:val="TableContents"/>
              <w:bidi w:val="0"/>
              <w:spacing w:before="0" w:after="283"/>
              <w:jc w:val="right"/>
              <w:rPr/>
            </w:pPr>
            <w:r>
              <w:rPr/>
              <w:t>200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Amendment to Contract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July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Contract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pPr>
            <w:r>
              <w:rPr/>
              <w:t>October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002" w:type="dxa"/>
            <w:tcBorders/>
            <w:shd w:fill="CCEEFF" w:val="clear"/>
            <w:tcMar>
              <w:bottom w:w="0" w:type="dxa"/>
            </w:tcMar>
            <w:vAlign w:val="center"/>
          </w:tcPr>
          <w:p>
            <w:pPr>
              <w:pStyle w:val="TableContents"/>
              <w:bidi w:val="0"/>
              <w:spacing w:before="0" w:after="283"/>
              <w:jc w:val="right"/>
              <w:rPr/>
            </w:pPr>
            <w:r>
              <w:rPr/>
              <w:t>100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Contract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December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Contract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pPr>
            <w:r>
              <w:rPr/>
              <w:t>January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002" w:type="dxa"/>
            <w:tcBorders/>
            <w:shd w:fill="CCEEFF" w:val="clear"/>
            <w:tcMar>
              <w:bottom w:w="0" w:type="dxa"/>
            </w:tcMar>
            <w:vAlign w:val="center"/>
          </w:tcPr>
          <w:p>
            <w:pPr>
              <w:pStyle w:val="TableContents"/>
              <w:bidi w:val="0"/>
              <w:spacing w:before="0" w:after="283"/>
              <w:jc w:val="right"/>
              <w:rPr/>
            </w:pPr>
            <w:r>
              <w:rPr/>
              <w:t>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Contract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February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Contract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pPr>
            <w:r>
              <w:rPr/>
              <w:t>March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1002" w:type="dxa"/>
            <w:tcBorders/>
            <w:shd w:fill="CCEEFF" w:val="clear"/>
            <w:tcMar>
              <w:bottom w:w="0" w:type="dxa"/>
            </w:tcMar>
            <w:vAlign w:val="center"/>
          </w:tcPr>
          <w:p>
            <w:pPr>
              <w:pStyle w:val="TableContents"/>
              <w:bidi w:val="0"/>
              <w:spacing w:before="0" w:after="283"/>
              <w:jc w:val="right"/>
              <w:rPr/>
            </w:pPr>
            <w:r>
              <w:rPr/>
              <w:t>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Contract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May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1002" w:type="dxa"/>
            <w:tcBorders/>
            <w:shd w:fill="FFFFFF" w:val="clear"/>
            <w:tcMar>
              <w:bottom w:w="0" w:type="dxa"/>
            </w:tcMar>
            <w:vAlign w:val="center"/>
          </w:tcPr>
          <w:p>
            <w:pPr>
              <w:pStyle w:val="TableContents"/>
              <w:bidi w:val="0"/>
              <w:spacing w:before="0" w:after="283"/>
              <w:jc w:val="right"/>
              <w:rPr/>
            </w:pPr>
            <w:r>
              <w:rPr/>
              <w:t>60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and 2025, the interest expense incurred on the BIT Assets Collateralized Loan is US$32.7 million and US$3.0 million, respectively. The effective interest rate of the BIT Assets Collateralized Loan for the six months ended June 30, 2026 is 13.0%. As of June 30, 2026, a portion of the BIT Assets Collateralized Loan’s principal amount amounting to US$373.5 million is due to be repaid within twelve months of June 30, 2026 and the remaining portion of principal amount amounting to US$142.1 million is due to be repaid thereafter. </w:t>
      </w:r>
    </w:p>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482"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 BTC Collateralized Loan</w:t>
      </w:r>
    </w:p>
    <w:p>
      <w:pPr>
        <w:pStyle w:val="TextBody"/>
        <w:bidi w:val="0"/>
        <w:spacing w:before="0" w:after="0"/>
        <w:ind w:left="482"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Group entered into a loan agreement (the “BIT BTC Collateralized Loan”) with BIT Group for a financing facility of up to US$400.0 million. Loans drawn under the facility bear interest at 8.35% per annum, payable monthly in arrears. Each drawdown has a tenor of 24 months from its drawdown date and is collateralized by Bitcoin, maintained based on a loan-to-value ratio. </w:t>
      </w:r>
    </w:p>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 interest expense incurred on the BIT BTC Collateralized Loan is US$0.5 million. No interest expense was incurred for the six months ended June 30, 2025 as the facility commenced in September 2025. The outstanding principal amount of US$67.2 million was fully repaid in digital assets in January and February 2026, and the Group had no outstanding balance under the facility as of June 30, 2026. </w:t>
      </w:r>
    </w:p>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48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60"/>
        <w:gridCol w:w="14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4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BIT Bitcoin Loan</w:t>
            </w:r>
          </w:p>
        </w:tc>
      </w:tr>
    </w:tbl>
    <w:p>
      <w:pPr>
        <w:pStyle w:val="TextBody"/>
        <w:bidi w:val="0"/>
        <w:spacing w:before="0" w:after="0"/>
        <w:ind w:left="482"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2026, the Group entered into a loan agreement (the “BIT Bitcoin Loan”) with BIT Group for a financing facility of up to 800 Bitcoin. The facility was subsequently amended to increase the maximum facility to 3,000 Bitcoin and was further amended and restated in March 2026 to increase the maximum facility to 6,000 Bitcoin. Loans drawn under the facility bear interest at 3.00% per annum, payable weekly in arrears. Each drawdown has a tenor as agreed between the parties. The loans are secured by collateral in the form of receivables denominated in digital assets, stablecoins or fiat currency, and are subject to a loan-to-value ratio. As of June 30, 2026, receivables with a carrying amount of US$162.2 million were pledged as collateral under the facility. </w:t>
      </w:r>
    </w:p>
    <w:p>
      <w:pPr>
        <w:pStyle w:val="TextBody"/>
        <w:bidi w:val="0"/>
        <w:spacing w:before="0" w:after="0"/>
        <w:ind w:left="482"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Group had an outstanding balance of 1,953.84 Bitcoin (US$117.5 million fair value equivalent) under the facility, all of which is due to be repaid within twelve months of June 30, 2026. The outstanding balance carried a fair value of US$117.5 million, consisting principal amount of US$144.6 million and embedded derivative asset of US$27.1 million. For the six months ended June 30, 2026, the effective interest rate of the BIT Bitcoin Loan is 3.04%, the interest expense incurred is US$2.0 million.  </w:t>
      </w:r>
    </w:p>
    <w:p>
      <w:pPr>
        <w:pStyle w:val="TextBody"/>
        <w:bidi w:val="0"/>
        <w:spacing w:before="0" w:after="0"/>
        <w:ind w:left="3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other payables primarily represent interest payable on borrowings and accrued service expenses related to custody services. As of December 31, 2025, other payables primarily represent deposits received in connection with hosting services and accrued service expenses. The deposits related to hosting services were released in September 2025 upon settlement of the related receivable.</w:t>
            </w:r>
          </w:p>
        </w:tc>
      </w:tr>
    </w:tbl>
    <w:p>
      <w:pPr>
        <w:pStyle w:val="TextBody"/>
        <w:bidi w:val="0"/>
        <w:spacing w:before="0" w:after="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260"/>
        <w:gridCol w:w="72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borrowings from a related party includes capitalized borrowing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Group entered into the BIT Structured Product Agreement with BIT Group, pursuant to which BIT Group provides digital asset derivatives to the Group. During the six months ended June 30, 2026, the Group entered into put option transactions with BIT Group under this agreement, for which the total premium paid amounted to approximately US$6.4 million and was recognized as a realized loss on derivative instruments upon settlement of the transactions. No such transactions were entered into for the six months ended June 30,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substantially all of the Group’s digital assets were held in custody by BIT Group. The Group’s purchase and disposal of digital assets, at spot price on the date of transaction, were also primarily from and to BIT Group.</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holds limited partner interests in Matrixport Venture Fund I, L.P., a limited partnership set up by the BIT Group. See Note 9.</w:t>
      </w:r>
    </w:p>
    <w:p>
      <w:pPr>
        <w:pStyle w:val="TextBody"/>
        <w:bidi w:val="0"/>
        <w:spacing w:before="0" w:after="0"/>
        <w:ind w:left="0" w:right="0" w:firstLine="426"/>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275"/>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24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primarily operates through its mining datacenters in the United States, Bhutan, Norway and other applicable geographic locations, refer to the geographic information presented. The gross profit by reporting segments is regularly provided to CODM for the purpose of allocating operating and capital resources and assessing performance of each reporting segment by comparing actual gross profit results to historical results and previously forecasted financial information. The CODM is not regularly provided with asset information by reporting segments, and therefore the Group does not report asset information by reporting segments.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identified seven operating segments and seven reportable segments, including 1) Self-mining; 2) Co-mining; 3) AI Cloud; 4) General hosting; 5) Membership hosting; 6) Cloud hash rate; and 7) Sale of mining rigs and accessories. For the six months ended June 30, 2025, the Group identified six operating segments and six reportable segments, including 1) Self-mining; 2) AI Cloud; 3) General hosting; 4) Membership hosting; 5) Cloud hash rate; and 6) Sale of mining rigs and accessories.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Cloud was not previously presented as a separate reportable segment. Following a change in the Group’s internal reporting structure during the six months ended June 30, 2026, AI Cloud is reported separately and segment information for the six months ended June 30, 2025 has been recast to conform to the current period presentation. The recast had no effect on total consolidated net revenues, gross profit or loss before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 financial information was as follows:</w:t>
      </w:r>
    </w:p>
    <w:p>
      <w:pPr>
        <w:pStyle w:val="TextBody"/>
        <w:bidi w:val="0"/>
        <w:spacing w:before="0" w:after="0"/>
        <w:ind w:left="3920" w:right="0" w:hanging="0"/>
        <w:jc w:val="center"/>
        <w:rPr>
          <w:caps w:val="false"/>
          <w:smallCaps w:val="false"/>
        </w:rPr>
      </w:pPr>
      <w:r>
        <w:rPr>
          <w:caps w:val="false"/>
          <w:smallCaps w:val="false"/>
        </w:rPr>
        <w:t> </w:t>
      </w:r>
    </w:p>
    <w:tbl>
      <w:tblPr>
        <w:tblW w:w="10570" w:type="dxa"/>
        <w:jc w:val="left"/>
        <w:tblInd w:w="0" w:type="dxa"/>
        <w:tblLayout w:type="fixed"/>
        <w:tblCellMar>
          <w:top w:w="0" w:type="dxa"/>
          <w:left w:w="0" w:type="dxa"/>
          <w:bottom w:w="0" w:type="dxa"/>
          <w:right w:w="0" w:type="dxa"/>
        </w:tblCellMar>
      </w:tblPr>
      <w:tblGrid>
        <w:gridCol w:w="1340"/>
        <w:gridCol w:w="60"/>
        <w:gridCol w:w="75"/>
        <w:gridCol w:w="1100"/>
        <w:gridCol w:w="95"/>
        <w:gridCol w:w="60"/>
        <w:gridCol w:w="80"/>
        <w:gridCol w:w="1020"/>
        <w:gridCol w:w="95"/>
        <w:gridCol w:w="60"/>
        <w:gridCol w:w="60"/>
        <w:gridCol w:w="755"/>
        <w:gridCol w:w="95"/>
        <w:gridCol w:w="60"/>
        <w:gridCol w:w="71"/>
        <w:gridCol w:w="759"/>
        <w:gridCol w:w="95"/>
        <w:gridCol w:w="60"/>
        <w:gridCol w:w="96"/>
        <w:gridCol w:w="1214"/>
        <w:gridCol w:w="95"/>
        <w:gridCol w:w="60"/>
        <w:gridCol w:w="60"/>
        <w:gridCol w:w="635"/>
        <w:gridCol w:w="95"/>
        <w:gridCol w:w="60"/>
        <w:gridCol w:w="96"/>
        <w:gridCol w:w="1019"/>
        <w:gridCol w:w="95"/>
        <w:gridCol w:w="60"/>
        <w:gridCol w:w="60"/>
        <w:gridCol w:w="875"/>
        <w:gridCol w:w="110"/>
      </w:tblGrid>
      <w:tr>
        <w:trPr/>
        <w:tc>
          <w:tcPr>
            <w:tcW w:w="13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060"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2026</w:t>
            </w:r>
          </w:p>
        </w:tc>
        <w:tc>
          <w:tcPr>
            <w:tcW w:w="110" w:type="dxa"/>
            <w:tcBorders/>
            <w:vAlign w:val="center"/>
          </w:tcPr>
          <w:p>
            <w:pPr>
              <w:pStyle w:val="TableContents"/>
              <w:bidi w:val="0"/>
              <w:spacing w:before="0" w:after="283"/>
              <w:jc w:val="left"/>
              <w:rPr/>
            </w:pPr>
            <w:r>
              <w:rPr/>
              <w:t> </w:t>
            </w:r>
          </w:p>
        </w:tc>
      </w:tr>
      <w:tr>
        <w:trPr/>
        <w:tc>
          <w:tcPr>
            <w:tcW w:w="134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Self-mining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Co-mining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Cloud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General</w:t>
              <w:br/>
              <w:t>hosting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Membership</w:t>
              <w:br/>
              <w:t>hosting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Cloud</w:t>
              <w:br/>
              <w:t>hash</w:t>
              <w:br/>
              <w:t>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Sale of</w:t>
              <w:br/>
              <w:t>mining</w:t>
              <w:br/>
              <w:t>rigs and</w:t>
              <w:br/>
              <w:t>accessories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315,226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34,002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8,226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26,529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413,184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Electricity cost in operating mining rigs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(180,191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(17,521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(6,831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(19,591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(227,728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(155,183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(17,050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(653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(185,431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(1,154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pPr>
            <w:r>
              <w:rPr/>
              <w:t>Cost of products sold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(3,822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(3,822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(16,013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(4,114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(17,952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center"/>
          </w:tcPr>
          <w:p>
            <w:pPr>
              <w:pStyle w:val="TableContents"/>
              <w:bidi w:val="0"/>
              <w:spacing w:before="0" w:after="283"/>
              <w:jc w:val="right"/>
              <w:rPr/>
            </w:pPr>
            <w:r>
              <w:rPr/>
              <w:t>(561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(1,850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(41,009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shd w:fill="FFFFFF" w:val="clear"/>
            <w:vAlign w:val="center"/>
          </w:tcPr>
          <w:p>
            <w:pPr>
              <w:pStyle w:val="TableContents"/>
              <w:bidi w:val="0"/>
              <w:spacing w:before="0" w:after="283"/>
              <w:jc w:val="left"/>
              <w:rPr>
                <w:b/>
              </w:rPr>
            </w:pPr>
            <w:r>
              <w:rPr>
                <w:b/>
              </w:rPr>
              <w:t>Total segment cost of revenues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(352,317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(38,785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(24,988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(8,069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(23,643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(7,520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(459,144</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1340" w:type="dxa"/>
            <w:tcBorders/>
            <w:shd w:fill="CCEEFF" w:val="clear"/>
            <w:vAlign w:val="center"/>
          </w:tcPr>
          <w:p>
            <w:pPr>
              <w:pStyle w:val="TableContents"/>
              <w:bidi w:val="0"/>
              <w:spacing w:before="0" w:after="283"/>
              <w:jc w:val="left"/>
              <w:rPr>
                <w:b/>
              </w:rPr>
            </w:pPr>
            <w:r>
              <w:rPr>
                <w:b/>
              </w:rPr>
              <w:t>Total segment gross (loss)/profit</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(37,091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(7,299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(45,960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information for the comparative period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7"/>
        <w:gridCol w:w="60"/>
        <w:gridCol w:w="86"/>
        <w:gridCol w:w="1089"/>
        <w:gridCol w:w="95"/>
        <w:gridCol w:w="60"/>
        <w:gridCol w:w="66"/>
        <w:gridCol w:w="707"/>
        <w:gridCol w:w="95"/>
        <w:gridCol w:w="60"/>
        <w:gridCol w:w="61"/>
        <w:gridCol w:w="769"/>
        <w:gridCol w:w="95"/>
        <w:gridCol w:w="60"/>
        <w:gridCol w:w="96"/>
        <w:gridCol w:w="1214"/>
        <w:gridCol w:w="95"/>
        <w:gridCol w:w="60"/>
        <w:gridCol w:w="111"/>
        <w:gridCol w:w="626"/>
        <w:gridCol w:w="95"/>
        <w:gridCol w:w="60"/>
        <w:gridCol w:w="100"/>
        <w:gridCol w:w="1260"/>
        <w:gridCol w:w="95"/>
        <w:gridCol w:w="60"/>
        <w:gridCol w:w="60"/>
        <w:gridCol w:w="875"/>
        <w:gridCol w:w="88"/>
      </w:tblGrid>
      <w:tr>
        <w:trPr/>
        <w:tc>
          <w:tcPr>
            <w:tcW w:w="200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05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2025</w:t>
            </w:r>
          </w:p>
        </w:tc>
        <w:tc>
          <w:tcPr>
            <w:tcW w:w="88" w:type="dxa"/>
            <w:tcBorders/>
            <w:vAlign w:val="center"/>
          </w:tcPr>
          <w:p>
            <w:pPr>
              <w:pStyle w:val="TableContents"/>
              <w:bidi w:val="0"/>
              <w:spacing w:before="0" w:after="283"/>
              <w:ind w:left="0" w:right="0" w:hanging="180"/>
              <w:jc w:val="left"/>
              <w:rPr/>
            </w:pPr>
            <w:r>
              <w:rPr/>
              <w:t> </w:t>
            </w:r>
          </w:p>
        </w:tc>
      </w:tr>
      <w:tr>
        <w:trPr/>
        <w:tc>
          <w:tcPr>
            <w:tcW w:w="2007"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Self-mining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Cloud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General</w:t>
              <w:br/>
              <w:t>hosting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Membership</w:t>
              <w:br/>
              <w:t>hosting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Cloud</w:t>
              <w:br/>
              <w:t>hash rate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Sale of</w:t>
              <w:br/>
              <w:t>mining</w:t>
              <w:br/>
              <w:t>rigs and accessories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8" w:type="dxa"/>
            <w:tcBorders/>
            <w:vAlign w:val="center"/>
          </w:tcPr>
          <w:p>
            <w:pPr>
              <w:pStyle w:val="TableContents"/>
              <w:bidi w:val="0"/>
              <w:spacing w:before="0" w:after="283"/>
              <w:ind w:left="0" w:right="0" w:hanging="180"/>
              <w:jc w:val="left"/>
              <w:rPr/>
            </w:pPr>
            <w:r>
              <w:rPr/>
              <w:t> </w:t>
            </w:r>
          </w:p>
        </w:tc>
      </w:tr>
      <w:tr>
        <w:trPr/>
        <w:tc>
          <w:tcPr>
            <w:tcW w:w="2007"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96,538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2,691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18,960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30,868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73,554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222,662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2007"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2007" w:type="dxa"/>
            <w:tcBorders/>
            <w:shd w:fill="CCEEFF" w:val="clear"/>
            <w:vAlign w:val="center"/>
          </w:tcPr>
          <w:p>
            <w:pPr>
              <w:pStyle w:val="TableContents"/>
              <w:bidi w:val="0"/>
              <w:spacing w:before="0" w:after="283"/>
              <w:jc w:val="left"/>
              <w:rPr/>
            </w:pPr>
            <w:r>
              <w:rPr/>
              <w:t>Electricity cost in operating mining rigs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(57,343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(13,611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(22,418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(93,379</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2007"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(23,293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(2,242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(1,987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(3,238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(30,814</w:t>
            </w:r>
          </w:p>
        </w:tc>
        <w:tc>
          <w:tcPr>
            <w:tcW w:w="88" w:type="dxa"/>
            <w:tcBorders/>
            <w:shd w:fill="FFFFFF" w:val="clear"/>
            <w:vAlign w:val="center"/>
          </w:tcPr>
          <w:p>
            <w:pPr>
              <w:pStyle w:val="TableContents"/>
              <w:bidi w:val="0"/>
              <w:spacing w:before="0" w:after="283"/>
              <w:ind w:left="0" w:right="0" w:hanging="180"/>
              <w:jc w:val="left"/>
              <w:rPr/>
            </w:pPr>
            <w:r>
              <w:rPr/>
              <w:t>)</w:t>
            </w:r>
          </w:p>
        </w:tc>
      </w:tr>
      <w:tr>
        <w:trPr/>
        <w:tc>
          <w:tcPr>
            <w:tcW w:w="2007"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(1,281</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2007" w:type="dxa"/>
            <w:tcBorders/>
            <w:shd w:fill="FFFFFF" w:val="clear"/>
            <w:vAlign w:val="center"/>
          </w:tcPr>
          <w:p>
            <w:pPr>
              <w:pStyle w:val="TableContents"/>
              <w:bidi w:val="0"/>
              <w:spacing w:before="0" w:after="283"/>
              <w:jc w:val="left"/>
              <w:rPr/>
            </w:pPr>
            <w:r>
              <w:rPr/>
              <w:t>Cost of products sold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pPr>
            <w:r>
              <w:rPr/>
              <w:t>(63,215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(63,215</w:t>
            </w:r>
          </w:p>
        </w:tc>
        <w:tc>
          <w:tcPr>
            <w:tcW w:w="88" w:type="dxa"/>
            <w:tcBorders/>
            <w:shd w:fill="FFFFFF" w:val="clear"/>
            <w:vAlign w:val="center"/>
          </w:tcPr>
          <w:p>
            <w:pPr>
              <w:pStyle w:val="TableContents"/>
              <w:bidi w:val="0"/>
              <w:spacing w:before="0" w:after="283"/>
              <w:ind w:left="0" w:right="0" w:hanging="180"/>
              <w:jc w:val="left"/>
              <w:rPr/>
            </w:pPr>
            <w:r>
              <w:rPr/>
              <w:t>)</w:t>
            </w:r>
          </w:p>
        </w:tc>
      </w:tr>
      <w:tr>
        <w:trPr/>
        <w:tc>
          <w:tcPr>
            <w:tcW w:w="2007"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bidi w:val="0"/>
              <w:spacing w:before="0" w:after="283"/>
              <w:jc w:val="right"/>
              <w:rPr/>
            </w:pPr>
            <w:r>
              <w:rPr/>
              <w:t>(15,292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12" w:space="0" w:color="000000"/>
            </w:tcBorders>
            <w:shd w:fill="CCEEFF" w:val="clear"/>
            <w:tcMar>
              <w:bottom w:w="28" w:type="dxa"/>
            </w:tcMar>
            <w:vAlign w:val="center"/>
          </w:tcPr>
          <w:p>
            <w:pPr>
              <w:pStyle w:val="TableContents"/>
              <w:bidi w:val="0"/>
              <w:spacing w:before="0" w:after="283"/>
              <w:jc w:val="right"/>
              <w:rPr/>
            </w:pPr>
            <w:r>
              <w:rPr/>
              <w:t>(2,717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center"/>
          </w:tcPr>
          <w:p>
            <w:pPr>
              <w:pStyle w:val="TableContents"/>
              <w:bidi w:val="0"/>
              <w:spacing w:before="0" w:after="283"/>
              <w:jc w:val="right"/>
              <w:rPr/>
            </w:pPr>
            <w:r>
              <w:rPr/>
              <w:t>(2,618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(4,264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single" w:sz="12" w:space="0" w:color="000000"/>
            </w:tcBorders>
            <w:shd w:fill="CCEEFF" w:val="clear"/>
            <w:tcMar>
              <w:bottom w:w="28" w:type="dxa"/>
            </w:tcMar>
            <w:vAlign w:val="center"/>
          </w:tcPr>
          <w:p>
            <w:pPr>
              <w:pStyle w:val="TableContents"/>
              <w:bidi w:val="0"/>
              <w:spacing w:before="0" w:after="283"/>
              <w:jc w:val="right"/>
              <w:rPr/>
            </w:pPr>
            <w:r>
              <w:rPr/>
              <w:t>(641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(25,540</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2007" w:type="dxa"/>
            <w:tcBorders/>
            <w:shd w:fill="FFFFFF" w:val="clear"/>
            <w:vAlign w:val="center"/>
          </w:tcPr>
          <w:p>
            <w:pPr>
              <w:pStyle w:val="TableContents"/>
              <w:bidi w:val="0"/>
              <w:spacing w:before="0" w:after="283"/>
              <w:jc w:val="left"/>
              <w:rPr>
                <w:b/>
              </w:rPr>
            </w:pPr>
            <w:r>
              <w:rPr>
                <w:b/>
              </w:rPr>
              <w:t>Total segment cost of revenues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(96,719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(4,959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(18,399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(30,226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(63,856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(214,229</w:t>
            </w:r>
          </w:p>
        </w:tc>
        <w:tc>
          <w:tcPr>
            <w:tcW w:w="88" w:type="dxa"/>
            <w:tcBorders/>
            <w:shd w:fill="FFFFFF" w:val="clear"/>
            <w:vAlign w:val="center"/>
          </w:tcPr>
          <w:p>
            <w:pPr>
              <w:pStyle w:val="TableContents"/>
              <w:bidi w:val="0"/>
              <w:spacing w:before="0" w:after="283"/>
              <w:ind w:left="0" w:right="0" w:hanging="180"/>
              <w:jc w:val="left"/>
              <w:rPr>
                <w:b/>
              </w:rPr>
            </w:pPr>
            <w:r>
              <w:rPr>
                <w:b/>
              </w:rPr>
              <w:t>)</w:t>
            </w:r>
          </w:p>
        </w:tc>
      </w:tr>
      <w:tr>
        <w:trPr/>
        <w:tc>
          <w:tcPr>
            <w:tcW w:w="2007" w:type="dxa"/>
            <w:tcBorders/>
            <w:shd w:fill="CCEEFF" w:val="clear"/>
            <w:vAlign w:val="center"/>
          </w:tcPr>
          <w:p>
            <w:pPr>
              <w:pStyle w:val="TableContents"/>
              <w:bidi w:val="0"/>
              <w:spacing w:before="0" w:after="283"/>
              <w:jc w:val="left"/>
              <w:rPr>
                <w:b/>
              </w:rPr>
            </w:pPr>
            <w:r>
              <w:rPr>
                <w:b/>
              </w:rPr>
              <w:t>Total segment gross (loss)/profit</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(2,268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2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8,433</w:t>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segment results to (loss)/profit before income tax:</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4670"/>
        <w:gridCol w:w="60"/>
        <w:gridCol w:w="60"/>
        <w:gridCol w:w="875"/>
        <w:gridCol w:w="95"/>
        <w:gridCol w:w="60"/>
        <w:gridCol w:w="60"/>
        <w:gridCol w:w="755"/>
        <w:gridCol w:w="110"/>
      </w:tblGrid>
      <w:tr>
        <w:trPr/>
        <w:tc>
          <w:tcPr>
            <w:tcW w:w="467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ind w:left="0" w:right="0" w:hanging="180"/>
              <w:jc w:val="left"/>
              <w:rPr/>
            </w:pPr>
            <w:r>
              <w:rPr/>
              <w:t> </w:t>
            </w:r>
          </w:p>
        </w:tc>
      </w:tr>
      <w:tr>
        <w:trPr/>
        <w:tc>
          <w:tcPr>
            <w:tcW w:w="4670" w:type="dxa"/>
            <w:tcBorders>
              <w:bottom w:val="single" w:sz="12" w:space="0" w:color="000000"/>
            </w:tcBorders>
            <w:tcMar>
              <w:bottom w:w="28" w:type="dxa"/>
            </w:tcMar>
            <w:vAlign w:val="center"/>
          </w:tcPr>
          <w:p>
            <w:pPr>
              <w:pStyle w:val="TableContents"/>
              <w:bidi w:val="0"/>
              <w:spacing w:before="0" w:after="283"/>
              <w:jc w:val="both"/>
              <w:rPr>
                <w:b/>
              </w:rPr>
            </w:pPr>
            <w:r>
              <w:rPr>
                <w:b/>
              </w:rPr>
              <w:t>In thousands of USD</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both"/>
              <w:rPr/>
            </w:pPr>
            <w:r>
              <w:rPr/>
              <w:t>Total segment gross (loss)/profit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8,433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both"/>
              <w:rPr/>
            </w:pPr>
            <w:r>
              <w:rPr/>
              <w:t>Other 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3,048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both"/>
              <w:rPr/>
            </w:pPr>
            <w:r>
              <w:rPr/>
              <w:t>Other net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(3,470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670" w:type="dxa"/>
            <w:tcBorders/>
            <w:shd w:fill="FFFFFF" w:val="clear"/>
            <w:vAlign w:val="center"/>
          </w:tcPr>
          <w:p>
            <w:pPr>
              <w:pStyle w:val="TableContents"/>
              <w:bidi w:val="0"/>
              <w:spacing w:before="0" w:after="283"/>
              <w:jc w:val="both"/>
              <w:rPr/>
            </w:pPr>
            <w:r>
              <w:rPr/>
              <w:t>Unallocated net operating (expenses)/income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(155,252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48,187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70"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4,187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70" w:type="dxa"/>
            <w:tcBorders/>
            <w:shd w:fill="FFFFFF" w:val="clear"/>
            <w:vAlign w:val="center"/>
          </w:tcPr>
          <w:p>
            <w:pPr>
              <w:pStyle w:val="TableContents"/>
              <w:bidi w:val="0"/>
              <w:spacing w:before="0" w:after="283"/>
              <w:jc w:val="both"/>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(62,810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(19,063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670" w:type="dxa"/>
            <w:tcBorders/>
            <w:shd w:fill="CCEEFF" w:val="clear"/>
            <w:vAlign w:val="center"/>
          </w:tcPr>
          <w:p>
            <w:pPr>
              <w:pStyle w:val="TableContents"/>
              <w:bidi w:val="0"/>
              <w:spacing w:before="0" w:after="283"/>
              <w:jc w:val="both"/>
              <w:rPr/>
            </w:pPr>
            <w:r>
              <w:rPr/>
              <w:t>Total consolidated (loss)/profit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(263,409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41,322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segment revenues to total revenues:</w:t>
      </w:r>
    </w:p>
    <w:p>
      <w:pPr>
        <w:pStyle w:val="TextBody"/>
        <w:bidi w:val="0"/>
        <w:spacing w:before="0" w:after="0"/>
        <w:ind w:left="0" w:right="0" w:hanging="0"/>
        <w:jc w:val="left"/>
        <w:rPr>
          <w:caps w:val="false"/>
          <w:smallCaps w:val="false"/>
        </w:rPr>
      </w:pPr>
      <w:r>
        <w:rPr>
          <w:caps w:val="false"/>
          <w:smallCaps w:val="false"/>
        </w:rPr>
        <w:t> </w:t>
      </w:r>
    </w:p>
    <w:tbl>
      <w:tblPr>
        <w:tblW w:w="5033" w:type="dxa"/>
        <w:jc w:val="left"/>
        <w:tblInd w:w="0" w:type="dxa"/>
        <w:tblLayout w:type="fixed"/>
        <w:tblCellMar>
          <w:top w:w="0" w:type="dxa"/>
          <w:left w:w="0" w:type="dxa"/>
          <w:bottom w:w="0" w:type="dxa"/>
          <w:right w:w="0" w:type="dxa"/>
        </w:tblCellMar>
      </w:tblPr>
      <w:tblGrid>
        <w:gridCol w:w="3020"/>
        <w:gridCol w:w="60"/>
        <w:gridCol w:w="61"/>
        <w:gridCol w:w="817"/>
        <w:gridCol w:w="61"/>
        <w:gridCol w:w="61"/>
        <w:gridCol w:w="61"/>
        <w:gridCol w:w="817"/>
        <w:gridCol w:w="75"/>
      </w:tblGrid>
      <w:tr>
        <w:trPr/>
        <w:tc>
          <w:tcPr>
            <w:tcW w:w="3020"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3020" w:type="dxa"/>
            <w:tcBorders>
              <w:bottom w:val="single" w:sz="12" w:space="0" w:color="000000"/>
            </w:tcBorders>
            <w:tcMar>
              <w:bottom w:w="28" w:type="dxa"/>
            </w:tcMar>
            <w:vAlign w:val="center"/>
          </w:tcPr>
          <w:p>
            <w:pPr>
              <w:pStyle w:val="TableContents"/>
              <w:bidi w:val="0"/>
              <w:spacing w:before="0" w:after="283"/>
              <w:jc w:val="both"/>
              <w:rPr>
                <w:b/>
              </w:rPr>
            </w:pPr>
            <w:r>
              <w:rPr>
                <w:b/>
              </w:rPr>
              <w:t>In thousands of USD</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020" w:type="dxa"/>
            <w:tcBorders/>
            <w:shd w:fill="CCEEFF" w:val="clear"/>
            <w:vAlign w:val="center"/>
          </w:tcPr>
          <w:p>
            <w:pPr>
              <w:pStyle w:val="TableContents"/>
              <w:bidi w:val="0"/>
              <w:spacing w:before="0" w:after="283"/>
              <w:jc w:val="both"/>
              <w:rPr/>
            </w:pPr>
            <w:r>
              <w:rPr/>
              <w:t>Total segment net 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413,184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222,662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20" w:type="dxa"/>
            <w:tcBorders/>
            <w:shd w:fill="FFFFFF" w:val="clear"/>
            <w:vAlign w:val="center"/>
          </w:tcPr>
          <w:p>
            <w:pPr>
              <w:pStyle w:val="TableContents"/>
              <w:bidi w:val="0"/>
              <w:spacing w:before="0" w:after="283"/>
              <w:jc w:val="both"/>
              <w:rPr/>
            </w:pPr>
            <w:r>
              <w:rPr/>
              <w:t>Other net revenues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FFFFFF" w:val="clear"/>
            <w:tcMar>
              <w:bottom w:w="28" w:type="dxa"/>
            </w:tcMar>
            <w:vAlign w:val="center"/>
          </w:tcPr>
          <w:p>
            <w:pPr>
              <w:pStyle w:val="TableContents"/>
              <w:bidi w:val="0"/>
              <w:spacing w:before="0" w:after="283"/>
              <w:jc w:val="right"/>
              <w:rPr/>
            </w:pPr>
            <w:r>
              <w:rPr/>
              <w:t>4,530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FFFFFF" w:val="clear"/>
            <w:tcMar>
              <w:bottom w:w="28" w:type="dxa"/>
            </w:tcMar>
            <w:vAlign w:val="center"/>
          </w:tcPr>
          <w:p>
            <w:pPr>
              <w:pStyle w:val="TableContents"/>
              <w:bidi w:val="0"/>
              <w:spacing w:before="0" w:after="283"/>
              <w:jc w:val="right"/>
              <w:rPr/>
            </w:pPr>
            <w:r>
              <w:rPr/>
              <w:t>3,048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20" w:type="dxa"/>
            <w:tcBorders/>
            <w:shd w:fill="CCEEFF" w:val="clear"/>
            <w:vAlign w:val="center"/>
          </w:tcPr>
          <w:p>
            <w:pPr>
              <w:pStyle w:val="TableContents"/>
              <w:bidi w:val="0"/>
              <w:spacing w:before="0" w:after="283"/>
              <w:jc w:val="both"/>
              <w:rPr/>
            </w:pPr>
            <w:r>
              <w:rPr/>
              <w:t>Total consolidated net revenues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417,714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225,710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Disaggregated revenue data by geographical region in terms of the location where services are provided or where the customers are based within the operating segment is as follows:</w:t>
      </w:r>
    </w:p>
    <w:p>
      <w:pPr>
        <w:pStyle w:val="TextBody"/>
        <w:bidi w:val="0"/>
        <w:spacing w:before="0" w:after="0"/>
        <w:ind w:left="0" w:right="0" w:hanging="0"/>
        <w:jc w:val="both"/>
        <w:rPr>
          <w:caps w:val="false"/>
          <w:smallCaps w:val="false"/>
        </w:rPr>
      </w:pPr>
      <w:r>
        <w:rPr>
          <w:caps w:val="false"/>
          <w:smallCaps w:val="false"/>
        </w:rPr>
        <w:t> </w:t>
      </w:r>
    </w:p>
    <w:tbl>
      <w:tblPr>
        <w:tblW w:w="4178" w:type="dxa"/>
        <w:jc w:val="left"/>
        <w:tblInd w:w="0" w:type="dxa"/>
        <w:tblLayout w:type="fixed"/>
        <w:tblCellMar>
          <w:top w:w="0" w:type="dxa"/>
          <w:left w:w="0" w:type="dxa"/>
          <w:bottom w:w="0" w:type="dxa"/>
          <w:right w:w="0" w:type="dxa"/>
        </w:tblCellMar>
      </w:tblPr>
      <w:tblGrid>
        <w:gridCol w:w="2165"/>
        <w:gridCol w:w="60"/>
        <w:gridCol w:w="61"/>
        <w:gridCol w:w="817"/>
        <w:gridCol w:w="61"/>
        <w:gridCol w:w="61"/>
        <w:gridCol w:w="61"/>
        <w:gridCol w:w="817"/>
        <w:gridCol w:w="75"/>
      </w:tblGrid>
      <w:tr>
        <w:trPr/>
        <w:tc>
          <w:tcPr>
            <w:tcW w:w="21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22,798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4,768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180,783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118,126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Bhutan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171,443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34,222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Norway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36,553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33,052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Finland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21,966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Ethiopia</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4,829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7,409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1,308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6,167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417,714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225,710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assets of property, plant and equipment and right-of-use assets by geographical region within the operating segment is as follows:</w:t>
      </w:r>
    </w:p>
    <w:p>
      <w:pPr>
        <w:pStyle w:val="TextBody"/>
        <w:bidi w:val="0"/>
        <w:spacing w:before="0" w:after="0"/>
        <w:ind w:left="0" w:right="0" w:hanging="0"/>
        <w:jc w:val="both"/>
        <w:rPr>
          <w:caps w:val="false"/>
          <w:smallCaps w:val="false"/>
        </w:rPr>
      </w:pPr>
      <w:r>
        <w:rPr>
          <w:caps w:val="false"/>
          <w:smallCaps w:val="false"/>
        </w:rPr>
        <w:t> </w:t>
      </w:r>
    </w:p>
    <w:tbl>
      <w:tblPr>
        <w:tblW w:w="4874" w:type="dxa"/>
        <w:jc w:val="left"/>
        <w:tblInd w:w="0" w:type="dxa"/>
        <w:tblLayout w:type="fixed"/>
        <w:tblCellMar>
          <w:top w:w="0" w:type="dxa"/>
          <w:left w:w="0" w:type="dxa"/>
          <w:bottom w:w="0" w:type="dxa"/>
          <w:right w:w="0" w:type="dxa"/>
        </w:tblCellMar>
      </w:tblPr>
      <w:tblGrid>
        <w:gridCol w:w="2165"/>
        <w:gridCol w:w="60"/>
        <w:gridCol w:w="60"/>
        <w:gridCol w:w="980"/>
        <w:gridCol w:w="60"/>
        <w:gridCol w:w="60"/>
        <w:gridCol w:w="81"/>
        <w:gridCol w:w="1333"/>
        <w:gridCol w:w="75"/>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 xml:space="preserve">At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At</w:t>
              <w:br/>
              <w:t>December 31,</w:t>
            </w:r>
          </w:p>
        </w:tc>
        <w:tc>
          <w:tcPr>
            <w:tcW w:w="75" w:type="dxa"/>
            <w:tcBorders/>
            <w:vAlign w:val="center"/>
          </w:tcPr>
          <w:p>
            <w:pPr>
              <w:pStyle w:val="TableContents"/>
              <w:bidi w:val="0"/>
              <w:spacing w:before="0" w:after="283"/>
              <w:jc w:val="left"/>
              <w:rPr/>
            </w:pPr>
            <w:r>
              <w:rPr/>
              <w:t> </w:t>
            </w:r>
          </w:p>
        </w:tc>
      </w:tr>
      <w:tr>
        <w:trPr/>
        <w:tc>
          <w:tcPr>
            <w:tcW w:w="2165"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678,930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66,310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845,346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456,708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Bhutan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440,292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443,780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Norway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143,220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52,682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Canada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8,404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Ethiopia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19,881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16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1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2,202,351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1,191,000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27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26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INCOME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(loss) income per share is based on the (loss) income attributable to ordinary equity shareholders of the Group and the weighted average number of ordinary shares outstanding for the six months ended June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computed using the weighted average number of ordinary shares and dilutive potential ordinary shares outstanding during the respective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 potential ordinary shares related to: (i) the outstanding share awards exercisable into approximately 14.3 million; (ii) share options issued in connection with the Norway Acquisition exercisable into approximately 0.4 million; (iii) the November 2024 convertible senior notes convertible into approximately 4.1 million; (iv) the June 2025 convertible senior notes convertible into approximately 23.6 million; (v) the November 2025 convertible senior notes convertible into approximately 22.5 million; (vi) the February 2026 convertible senior notes convertible into approximately 37.8 million were excluded from the calculation of diluted net income per share as their effect would have been anti-dilutive.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the potential ordinary shares related to: (i) the outstanding share awards exercisable into approximately 14.2 million; (ii) share options issued in connection with the Norway Acquisition exercisable into approximately 0.4 million; (iii) the promissory note convertible into approximately 2.0 million; (iv) the November 2024 convertible senior notes convertible into approximately 25.0 million; (v) the June 2025 convertible senior notes convertible into approximately 23.6 million were excluded from the calculation of diluted net income per share as their effect would have been anti-dilutive.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reflects the loss and share data used in the basic and diluted loss per ordinary share computations: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0"/>
        <w:gridCol w:w="60"/>
        <w:gridCol w:w="60"/>
        <w:gridCol w:w="875"/>
        <w:gridCol w:w="95"/>
        <w:gridCol w:w="60"/>
        <w:gridCol w:w="60"/>
        <w:gridCol w:w="875"/>
        <w:gridCol w:w="110"/>
      </w:tblGrid>
      <w:tr>
        <w:trPr/>
        <w:tc>
          <w:tcPr>
            <w:tcW w:w="80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Periods ended </w:t>
              <w:br/>
              <w:t>June 30,</w:t>
            </w:r>
          </w:p>
        </w:tc>
        <w:tc>
          <w:tcPr>
            <w:tcW w:w="110" w:type="dxa"/>
            <w:tcBorders/>
            <w:vAlign w:val="center"/>
          </w:tcPr>
          <w:p>
            <w:pPr>
              <w:pStyle w:val="TableContents"/>
              <w:bidi w:val="0"/>
              <w:spacing w:before="0" w:after="283"/>
              <w:ind w:left="0" w:right="0" w:hanging="180"/>
              <w:jc w:val="left"/>
              <w:rPr/>
            </w:pPr>
            <w:r>
              <w:rPr/>
              <w:t> </w:t>
            </w:r>
          </w:p>
        </w:tc>
      </w:tr>
      <w:tr>
        <w:trPr/>
        <w:tc>
          <w:tcPr>
            <w:tcW w:w="8010" w:type="dxa"/>
            <w:tcBorders>
              <w:bottom w:val="single" w:sz="12" w:space="0" w:color="000000"/>
            </w:tcBorders>
            <w:tcMar>
              <w:bottom w:w="28" w:type="dxa"/>
            </w:tcMar>
            <w:vAlign w:val="center"/>
          </w:tcPr>
          <w:p>
            <w:pPr>
              <w:pStyle w:val="TableContents"/>
              <w:bidi w:val="0"/>
              <w:spacing w:before="0" w:after="283"/>
              <w:jc w:val="left"/>
              <w:rPr>
                <w:b/>
              </w:rPr>
            </w:pPr>
            <w:r>
              <w:rPr>
                <w:b/>
              </w:rPr>
              <w:t>In thousands of USD, except for the per share data</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8010" w:type="dxa"/>
            <w:tcBorders/>
            <w:shd w:fill="CCEEFF" w:val="clear"/>
            <w:vAlign w:val="center"/>
          </w:tcPr>
          <w:p>
            <w:pPr>
              <w:pStyle w:val="TableContents"/>
              <w:bidi w:val="0"/>
              <w:spacing w:before="0" w:after="283"/>
              <w:jc w:val="left"/>
              <w:rPr/>
            </w:pPr>
            <w:r>
              <w:rPr/>
              <w:t>Net (loss) income attributable to ordinary shareholders of the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(251,805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42,378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10" w:type="dxa"/>
            <w:tcBorders/>
            <w:shd w:fill="FFFFFF" w:val="clear"/>
            <w:vAlign w:val="center"/>
          </w:tcPr>
          <w:p>
            <w:pPr>
              <w:pStyle w:val="TableContents"/>
              <w:bidi w:val="0"/>
              <w:spacing w:before="0" w:after="283"/>
              <w:jc w:val="left"/>
              <w:rPr/>
            </w:pPr>
            <w:r>
              <w:rPr/>
              <w:t>Weighted average number of ordinary shares outstanding (thousand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239,886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192,095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10" w:type="dxa"/>
            <w:tcBorders/>
            <w:shd w:fill="CCEEFF" w:val="clear"/>
            <w:vAlign w:val="center"/>
          </w:tcPr>
          <w:p>
            <w:pPr>
              <w:pStyle w:val="TableContents"/>
              <w:bidi w:val="0"/>
              <w:spacing w:before="0" w:after="283"/>
              <w:jc w:val="left"/>
              <w:rPr>
                <w:b/>
              </w:rPr>
            </w:pPr>
            <w:r>
              <w:rPr>
                <w:b/>
              </w:rPr>
              <w:t>Basic (loss) income per share (In USD)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10" w:type="dxa"/>
            <w:tcBorders/>
            <w:shd w:fill="FFFFFF" w:val="clear"/>
            <w:vAlign w:val="center"/>
          </w:tcPr>
          <w:p>
            <w:pPr>
              <w:pStyle w:val="TableContents"/>
              <w:bidi w:val="0"/>
              <w:spacing w:before="0" w:after="283"/>
              <w:jc w:val="left"/>
              <w:rPr/>
            </w:pPr>
            <w:r>
              <w:rPr/>
              <w:t>- Impact of derivative liabilities related and interest expense to the August 2024 convertible senior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(117,306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10" w:type="dxa"/>
            <w:tcBorders/>
            <w:shd w:fill="CCEEFF" w:val="clear"/>
            <w:vAlign w:val="center"/>
          </w:tcPr>
          <w:p>
            <w:pPr>
              <w:pStyle w:val="TableContents"/>
              <w:bidi w:val="0"/>
              <w:spacing w:before="0" w:after="283"/>
              <w:jc w:val="left"/>
              <w:rPr/>
            </w:pPr>
            <w:r>
              <w:rPr/>
              <w:t>- Impact of derivative liabilities related to the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(42,622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10" w:type="dxa"/>
            <w:tcBorders/>
            <w:shd w:fill="FFFFFF" w:val="clear"/>
            <w:vAlign w:val="center"/>
          </w:tcPr>
          <w:p>
            <w:pPr>
              <w:pStyle w:val="TableContents"/>
              <w:bidi w:val="0"/>
              <w:spacing w:before="0" w:after="283"/>
              <w:jc w:val="left"/>
              <w:rPr>
                <w:b/>
              </w:rPr>
            </w:pPr>
            <w:r>
              <w:rPr>
                <w:b/>
              </w:rPr>
              <w:t>Loss attributable to ordinary equity shareholders of the Group for diluted EPS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(251,805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(117,550</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8010" w:type="dxa"/>
            <w:tcBorders/>
            <w:shd w:fill="CCEEFF" w:val="clear"/>
            <w:vAlign w:val="center"/>
          </w:tcPr>
          <w:p>
            <w:pPr>
              <w:pStyle w:val="TableContents"/>
              <w:bidi w:val="0"/>
              <w:spacing w:before="0" w:after="283"/>
              <w:jc w:val="left"/>
              <w:rPr/>
            </w:pPr>
            <w:r>
              <w:rPr/>
              <w:t>Weighted average number of ordinary shares outstanding (thousand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239,886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192,095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10"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10" w:type="dxa"/>
            <w:tcBorders/>
            <w:shd w:fill="CCEEFF" w:val="clear"/>
            <w:vAlign w:val="center"/>
          </w:tcPr>
          <w:p>
            <w:pPr>
              <w:pStyle w:val="TableContents"/>
              <w:bidi w:val="0"/>
              <w:spacing w:before="0" w:after="283"/>
              <w:jc w:val="left"/>
              <w:rPr/>
            </w:pPr>
            <w:r>
              <w:rPr/>
              <w:t>- Assumed conversion of the August 2024 convertible senior notes (thousand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11,480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10" w:type="dxa"/>
            <w:tcBorders/>
            <w:shd w:fill="FFFFFF" w:val="clear"/>
            <w:vAlign w:val="center"/>
          </w:tcPr>
          <w:p>
            <w:pPr>
              <w:pStyle w:val="TableContents"/>
              <w:bidi w:val="0"/>
              <w:spacing w:before="0" w:after="283"/>
              <w:jc w:val="left"/>
              <w:rPr/>
            </w:pPr>
            <w:r>
              <w:rPr/>
              <w:t>- Assumed exercise of warrants (thousand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1,108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10" w:type="dxa"/>
            <w:tcBorders/>
            <w:shd w:fill="CCEEFF" w:val="clear"/>
            <w:vAlign w:val="center"/>
          </w:tcPr>
          <w:p>
            <w:pPr>
              <w:pStyle w:val="TableContents"/>
              <w:bidi w:val="0"/>
              <w:spacing w:before="0" w:after="283"/>
              <w:jc w:val="left"/>
              <w:rPr>
                <w:b/>
              </w:rPr>
            </w:pPr>
            <w:r>
              <w:rPr>
                <w:b/>
              </w:rPr>
              <w:t>Weighted average number of shares outstanding for diluted EPS (thousand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239,886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204,683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10" w:type="dxa"/>
            <w:tcBorders/>
            <w:shd w:fill="FFFFFF" w:val="clear"/>
            <w:vAlign w:val="center"/>
          </w:tcPr>
          <w:p>
            <w:pPr>
              <w:pStyle w:val="TableContents"/>
              <w:bidi w:val="0"/>
              <w:spacing w:before="0" w:after="283"/>
              <w:jc w:val="left"/>
              <w:rPr>
                <w:b/>
              </w:rPr>
            </w:pPr>
            <w:r>
              <w:rPr>
                <w:b/>
              </w:rPr>
              <w:t>Diluted loss per share (In USD)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(0.57</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Class A ordinary share carries 1 vote and each Class V ordinary share carries 10 votes. All classes of shares are entitled to dividend and rank pari passu except for voting rights. They are included in the ordinary shares and the shareholders of the shares are referred to as the ordinary equity shareholders in the context of notes and presentations of earnings per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275"/>
        <w:gridCol w:w="37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37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capital commitments primarily relate to commitments on construction of datacenters. Total capital commitments contracted but not yet reflected in the consolidated financial statements amounted to US$154.8 million and US$65.3 million as of June 30, 2026 and December 31, 2025, respectively. All of these capital commitments will be fulfilled in the following years according to the construction progress.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investment commitments primarily related to capital contribution obligation for certain fund investments. Total investment commitments contracted but not yet reflected in the consolidated financial statements amounted to US$5.3 million and US$6.0 million as of June 30, 2026 and December 31, 2025, respectively.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contingency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is involved in claims and legal proceedings that arise in the ordinary course of business. The Group records a liability when it is both probable that a liability has been incurred and the amount of the loss can be reasonably estimated. The Group reviews the need for and such liability on a regular basis. The Group has not recorded any material liabilities in this regard as of June 30, 2026 and December 31, 2025.</w:t>
      </w:r>
    </w:p>
    <w:p>
      <w:pPr>
        <w:pStyle w:val="TextBody"/>
        <w:bidi w:val="0"/>
        <w:spacing w:before="0" w:after="0"/>
        <w:ind w:left="0" w:right="0" w:firstLine="72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7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2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360" w:right="0" w:firstLine="48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and September 2026, the Group granted a total of approximately 0.7 million share awards to the designated recipients under the 2023 Plan. Each share award either entitles the recipient to purchase one ordinary share of the Group at an exercise price of US$15.44 per share, or entitles the recipient to receive one ordinary share of the Group upon vesting. The share awards vest over periods ranging from three months to five years, and the recipient shall continue to provide services to the Group by each vesting date. The options granted expire on the tenth anniversary of the date of grant.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2026, the Group fully repaid the outstanding principal of US$26.0 million under an existing unsecured financing facility with a commercial bank which bore interest at a rate of 10.31% per annum. In July 2026, the Group renewed the facility and drew down an aggregate principal amount of US$26.0 million, which bears interest at 10.31% per annum and matures in December 2026.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2026, the Group entered into a loan agreement with BIT Group under the BIT Assets Collateralized Loan arrangement, pursuant to which an additional financing facility of US$45.0 million was made available. Loans drawn under this facility bear a variable interest rate equal to 9.0% plus a market-based reference rate, has a tenor of one week from its utilisation date. The facility is collateralized by assets of the Group as agreed between the parties and is maintained in compliance with agreed loan-to-value requirements. The Group drew down US$45.0 million under the facility in August 2026. As of September 29, 2026, the Group had an aggregate outstanding balance of approximately US$423.3 million under the facilities.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2026, the Group entered into a lease agreement and a services agreement (collectively, the “Colocation Lease and Services Agreement”) with Volta Tydal AS (the “Tenant”) to deliver 121 IT MW of contracted critical load at its Tydal, Norway campus. The total contract value is approximately US$4.7 billion over the initial 16-year term, with an 8-year renewal option exercisable by the Tenant.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2026, the BIT Bitcoin Loan was amended to allow repaid amounts to be re-borrowed on a revolving basis, subject to a maximum of 6,000 Bitcoin outstanding at any time. Other principal terms remain substantially unchanged. For the period from July 1, 2026 to September 29, 2026, the Group drew down approximately 3,900 Bitcoin and repaid approximately 2,185 Bitcoin under the BIT Bitcoin Loan. As of September 29, 2026, the Group had an outstanding balance of approximately 3,669 Bitcoin under the facility.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2026, Bitdeer completed acquisition of approximately 200 acres of greenfield property in Milam County, Texas for total consideration of approximately $100 million, paid in cash.</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period from July 1, 2026 to September 29, 2026, the Group newly issued 4,367,199 Class A ordinary shares with net proceeds of US$58.0 million. </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42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firstLine="426"/>
        <w:jc w:val="both"/>
        <w:rPr>
          <w:caps w:val="false"/>
          <w:smallCaps w:val="false"/>
        </w:rPr>
      </w:pPr>
      <w:r>
        <w:rPr>
          <w:caps w:val="false"/>
          <w:smallCaps w:val="false"/>
        </w:rPr>
        <w:t> </w:t>
      </w:r>
    </w:p>
    <w:p>
      <w:pPr>
        <w:pStyle w:val="TextBody"/>
        <w:bidi w:val="0"/>
        <w:jc w:val="right"/>
        <w:rPr>
          <w:b/>
        </w:rPr>
      </w:pPr>
      <w:bookmarkStart w:id="9" w:name="ea030647301ex99-2.htm"/>
      <w:bookmarkStart w:id="10" w:name="ksea030647301ex992"/>
      <w:bookmarkEnd w:id="9"/>
      <w:bookmarkEnd w:id="10"/>
      <w:r>
        <w:rPr>
          <w:b/>
        </w:rPr>
        <w:t>Exhibit 99.2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RECENT DEVELOPMENT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or unless the context otherwise requires, the terms “we,” “us,” “our,” “our Company,” “Bitdeer” refer to Bitdeer Technologies Group. Capitalized terms not otherwise defined shall have the meanings ascribed to them in our annual report on Form 20-F for the year ended December 31, 2025, filed with the Securities and Exchange Commission on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Rockdale Land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2026, we completed the fee simple acquisition of approximately 200 acres of greenfield property in Milam County, Texas, near our existing Rockdale facility, for total consideration of approximately US$100 million, paid in cash. Following this transaction, we own and/or operate approximately 255 acres and 742 MW of existing and pipeline power capacity in Milam County, and approximately 3.0 GW of total power capacity across our global site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Cloud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2026, Bitdeer AI, part of our Company (“Bitdeer AI”), has sold out its approximately 9.5MW capacity at its A102 data center in Malaysia for its AI Cloud business, entering into five-year long-term offtake commitments at this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Colocation Lease and Services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2026, we entered into a data center lease agreement and a data center services agreement (collectively, as amended, the “Colocation Lease and Services Agreement”) through our subsidiary, Tydal Data Center AS (“TDC”) with Volta Tydal AS (“Volta” or “Tenant”). The total contract value is approximately US$4.7 billion over the initial 16-year base term, and the Tenant has a no fee termination right at 10 years. The Tenant’s 8-year renewal option increases the potential total contract value to approximately US$8.0 billion over 24 years. The Colocation Lease and Services Agreement is structured as a modified gross lease, with a 16-year average rate of approximately US$202/kW/month total; electricity costs are fully reimbursed by the Tenant. Expected average annual revenue is US$2.4 million per IT MW over 16 years, with an estimated NOI margin of approximately 90%. Both the lease and services agreement are subject to 3% annual escalators. Under the Colocation Lease and Services Agreement, TDC will deliver 121 IT MW of contracted critical load, supported by an estimated 133 gross MW of capacity, at the Tydal, Norway campus. Volta’s obligations are anticipated to be backed by institutional-grade credit support in the form of letters of credit arranged by affiliates of J.P. Morgan and another top-tier global financial institution, totaling approximately US$1.3 billion and subject to customary conditions. We have the right to terminate the agreement if Volta fails to meet certain milestones relating to the credit backstop. Our affiliates retain 100% ownership of the Tydal, Norway campus. No equity securities or warrants of our company were issued as part of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Tydal Data Center Contract for Design and Construction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TDC, our subsidiary, entered into a contract for design and construction (the “Tydal EPC Agreement”) with Data Center Installations AS, a Norwegian limited company, for the conversion and upgrading of our existing datacenter in Tydal, Norway into an AI datacenter. The agreement is structured on an open-book, cost-plus basis. The project is expected to be completed in phases commencing in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repaid an existing financing facility with a commercial bank (the “Financing Facility”) with a principal amount of US$26.0 million, which was unsecured and bore interest at a rate of 10.31% per annum. In July 2026, we fully repaid the then outstanding principal of US$26.0 million with the Financing Facility, renewed the Financing Facility, and subsequently drew down an aggregate principal amount of US$26.0 million, which bears interest at 10.31% per annum and matures in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 Bitcoin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a loan agreement with BIT Group, pursuant to which we borrowed 800 Bitcoin from BIT Group. The agreement was amended in February and March 2026 to increase the financing facility from 800 Bitcoin to 3,000 Bitcoin and 6,000 Bitcoin, respectively. The agreement was further amended in August 2026 to allow repaid amounts to be re-borrowed on a revolving basis, subject to a maximum of 6,000 Bitcoin outstanding at any time. Loans drawn under the facility bear interest at 3.00% per annum, payable weekly in arrears. Each drawdown has a tenor as agreed between the parties. The loans are secured by collateral in the form of stablecoins or fiat currency and are subject to a loan-to-value ratio. As of September 29, 2026, we have an outstanding balance of approximately 3,669 Bitcoin under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 Structured Product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the BIT Structured Product Agreement with BIT Group, pursuant to which BIT Group will provide a diverse suite of products, including collateralized financing, options, notes, accumulators/decumulators, and other digital asset derivatives. As of September 29, 2026, we have entered into put option transactions under the BIT Structured Product Agreement with total premium paid of approximately US$6.4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February 2026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issued US$325.0 million in aggregate principal amount of 5.00% Convertible Senior Notes due 2032 (the “February 2026 Convertible Notes”) and an additional US$50.0 million principal amount of the February 2026 Convertible Notes pursuant to the initial purchasers’ exercise of their option, for a total of US$375.0 million in aggregate principal amount. In connection with the February 2026 Convertible Notes, we entered into privately negotiated capped call transactions with certain of the initial purchasers or affiliates thereof and certain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Equity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completed a registered direct offering of 5,503,030 of our Class A ordinary shares at a price of US$7.94 per share. In connection with the 2026 Equity Offering, we entered into individually negotiated share purchase agreements with certain institutional investors holding our November 2024 Convertible Notes. We used the net proceeds from the 2026 Equity Offering, together with a portion of the net proceeds from the February 2026 Convertible Notes, to repurchase for cash US$135.0 million aggregate principal amount of the November 2024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acted as the exclusive placement agent (the “2026 Placement Agent”) in connection with the 2026 Equity Offering pursuant to that certain placement agency agreement dated as of February 19, 2026, by and between us and the 2026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 Assets Collateralized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loan agreement with BIT Group for a financing facility of up to US$200.0 million (the “BIT Assets Collateralized Loan”). Loans drawn under the facility bear a variable interest rate equal to 9.0% plus a market-based reference rate and are repayable in fixed monthly instalments over a 24-month term. The facility is collateralized by our SEALMINERs, and is maintained in compliance with an agreed loan-to-value ratio. In July and October 2025, we entered into amendments to the BIT Assets Collateralized Loan, pursuant to which the total maximum financing facility was increased from US$200.0 million to US$400.0 million and the definition of collateral was expanded to include mining rigs, inventories, datacenter assets and such other collateral as may be mutually agreed between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December 2025, January, February, March and May 2026, we entered into additional loan agreements with BIT Group similar to the BIT Assets Collateralized Loan arrangement, pursuant to which additional financing facilities of US$100.0 million were made available in October 2025, US$50.0 million were made available in each respective month from December 2025 to March 2026, and US$60 million were made available in May 2026, for an aggregate of US$360.0 million, on substantially the same terms. In August 2026, we entered into a further loan agreement with BIT Group under the BIT Assets Collateralized Loan arrangement, pursuant to which an additional financing facility of US$45.0 million was made available, on substantially the same terms. As of September 29, 2026, we had an aggregate outstanding balance of approximately US$423.3 million under the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At Market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2025, we entered into an At Market Issuance Sales Agreement (the “2025 At Market Issuance Sales Agreement”; the program under the 2025 At Market Issuance Sales Agreement, the “2025 ATM Program”)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as sales agents (collectively, the “Sales Agents” for the purposes of this paragraph), pursuant to which we may offer and sell our Class A ordinary shares from time to time through or to the Sales Agents, as agent or principal. The timing and extent of the use of the 2025 ATM Program will be at our discretion.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ATM Program, we filed a prospectus supplement dated January 3, 2025, as amended by Amendment No. 1 dated November 12, 2025, and Amendment No. 2 dated February 19, 2026 (collectively, the “Prior ATM Prospectus Supplement”). We utilized the full amount available for offer and sale under the Prior ATM Prospectus Supplement, except for approximately US$55.5 million, which was transferred to the 2026 ATM Prospectus Supplement (as defined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we filed a new prospectus supplement (the “2026 ATM Prospectus Supplement”), providing for the offer and sale of up to US$1,000,000,000 of Class A ordinary shares under the 2025 ATM Program (including approximately US$55.5 million transferred from the Prior ATM Prospectus Supplement), which replaced the Prior ATM Prospectus Supplement for purposes of subsequent sales. As of September 29, 2026, we offered and sold 767,199 Class A ordinary shares for total net proceeds of approximately US$8.4 million under the 2026 ATM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our results of operations, revenue breakdown, and expenses by nature for the six months ended June 30, 2026 and 2025. This information should be read together with our unaudited interim consolidated financial statements for the six months ended June 30, 2026 and 2025 and related notes. The results of operations in any particular period are not necessarily indicative of our future trends.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5285"/>
        <w:gridCol w:w="60"/>
        <w:gridCol w:w="79"/>
        <w:gridCol w:w="1170"/>
        <w:gridCol w:w="124"/>
        <w:gridCol w:w="78"/>
        <w:gridCol w:w="79"/>
        <w:gridCol w:w="1170"/>
        <w:gridCol w:w="110"/>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(Unaudited)</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(Unaudited)</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rPr>
            </w:pPr>
            <w:r>
              <w:rPr>
                <w:b/>
              </w:rPr>
              <w:t>Total net revenues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417,714</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225,710</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(465,281</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(217,699</w:t>
            </w:r>
          </w:p>
        </w:tc>
        <w:tc>
          <w:tcPr>
            <w:tcW w:w="110" w:type="dxa"/>
            <w:tcBorders/>
            <w:shd w:fill="FFFFFF" w:val="clear"/>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b/>
              </w:rPr>
            </w:pPr>
            <w:r>
              <w:rPr>
                <w:b/>
              </w:rPr>
              <w:t>Gross (loss) profit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(47,567</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8,011</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(5,136</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(3,015</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(58,906</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(35,240</w:t>
            </w:r>
          </w:p>
        </w:tc>
        <w:tc>
          <w:tcPr>
            <w:tcW w:w="110" w:type="dxa"/>
            <w:tcBorders/>
            <w:shd w:fill="FFFFFF" w:val="clear"/>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(56,250</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(79,572</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Change in fair value of digital assets held for operations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(28,628</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19,398</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Other operating expenses, net</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(11,806</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(3,409</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(160,726</w:t>
            </w:r>
          </w:p>
        </w:tc>
        <w:tc>
          <w:tcPr>
            <w:tcW w:w="124"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(101,838</w:t>
            </w:r>
          </w:p>
        </w:tc>
        <w:tc>
          <w:tcPr>
            <w:tcW w:w="110" w:type="dxa"/>
            <w:tcBorders/>
            <w:shd w:fill="FFFFFF" w:val="clear"/>
            <w:vAlign w:val="center"/>
          </w:tcPr>
          <w:p>
            <w:pPr>
              <w:pStyle w:val="TableContents"/>
              <w:bidi w:val="0"/>
              <w:spacing w:before="0" w:after="283"/>
              <w:jc w:val="left"/>
              <w:rPr>
                <w:b/>
              </w:rPr>
            </w:pPr>
            <w:r>
              <w:rPr>
                <w:b/>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(208,293</w:t>
            </w:r>
          </w:p>
        </w:tc>
        <w:tc>
          <w:tcPr>
            <w:tcW w:w="124"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(93,827</w:t>
            </w:r>
          </w:p>
        </w:tc>
        <w:tc>
          <w:tcPr>
            <w:tcW w:w="110" w:type="dxa"/>
            <w:tcBorders/>
            <w:shd w:fill="FFFFFF" w:val="clear"/>
            <w:vAlign w:val="center"/>
          </w:tcPr>
          <w:p>
            <w:pPr>
              <w:pStyle w:val="TableContents"/>
              <w:bidi w:val="0"/>
              <w:spacing w:before="0" w:after="283"/>
              <w:jc w:val="left"/>
              <w:rPr>
                <w:b/>
              </w:rPr>
            </w:pPr>
            <w:r>
              <w:rPr>
                <w:b/>
              </w:rPr>
              <w:t>)</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2,220</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4,187</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(62,810</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(19,063</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pPr>
            <w:r>
              <w:rPr/>
              <w:t>Change in fair value of digital assets receivables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(16,307</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Change in fair value of digital assets loan</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23,809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Change in fair value of derivative instruments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12,988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165,352</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Foreign exchange (losses) gains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(2,367</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3,449</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Other losses, net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(12,649</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(18,776</w:t>
            </w:r>
          </w:p>
        </w:tc>
        <w:tc>
          <w:tcPr>
            <w:tcW w:w="110" w:type="dxa"/>
            <w:tcBorders/>
            <w:shd w:fill="FFFFFF" w:val="clear"/>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b/>
              </w:rPr>
            </w:pPr>
            <w:r>
              <w:rPr>
                <w:b/>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(263,409</w:t>
            </w:r>
          </w:p>
        </w:tc>
        <w:tc>
          <w:tcPr>
            <w:tcW w:w="124" w:type="dxa"/>
            <w:tcBorders/>
            <w:shd w:fill="CCEEFF" w:val="clear"/>
            <w:vAlign w:val="center"/>
          </w:tcPr>
          <w:p>
            <w:pPr>
              <w:pStyle w:val="TableContents"/>
              <w:bidi w:val="0"/>
              <w:spacing w:before="0" w:after="283"/>
              <w:jc w:val="left"/>
              <w:rPr>
                <w:b/>
              </w:rPr>
            </w:pPr>
            <w:r>
              <w:rPr>
                <w:b/>
              </w:rPr>
              <w:t>)</w:t>
            </w:r>
          </w:p>
        </w:tc>
        <w:tc>
          <w:tcPr>
            <w:tcW w:w="7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41,322</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Income tax benefits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15,121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3,523</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Share of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(3,517</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(2,467</w:t>
            </w:r>
          </w:p>
        </w:tc>
        <w:tc>
          <w:tcPr>
            <w:tcW w:w="110" w:type="dxa"/>
            <w:tcBorders/>
            <w:shd w:fill="CCEEFF" w:val="clear"/>
            <w:vAlign w:val="center"/>
          </w:tcPr>
          <w:p>
            <w:pPr>
              <w:pStyle w:val="TableContents"/>
              <w:bidi w:val="0"/>
              <w:spacing w:before="0" w:after="283"/>
              <w:jc w:val="left"/>
              <w:rPr/>
            </w:pPr>
            <w:r>
              <w:rPr/>
              <w:t>)</w:t>
            </w:r>
          </w:p>
        </w:tc>
      </w:tr>
      <w:tr>
        <w:trPr/>
        <w:tc>
          <w:tcPr>
            <w:tcW w:w="5285"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80" w:type="dxa"/>
            </w:tcMar>
            <w:vAlign w:val="center"/>
          </w:tcPr>
          <w:p>
            <w:pPr>
              <w:pStyle w:val="TableContents"/>
              <w:bidi w:val="0"/>
              <w:spacing w:before="0" w:after="283"/>
              <w:jc w:val="left"/>
              <w:rPr/>
            </w:pPr>
            <w:r>
              <w:rPr/>
              <w:t> </w:t>
            </w:r>
          </w:p>
        </w:tc>
        <w:tc>
          <w:tcPr>
            <w:tcW w:w="11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(251,805</w:t>
            </w:r>
          </w:p>
        </w:tc>
        <w:tc>
          <w:tcPr>
            <w:tcW w:w="124"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80" w:type="dxa"/>
            </w:tcMar>
            <w:vAlign w:val="center"/>
          </w:tcPr>
          <w:p>
            <w:pPr>
              <w:pStyle w:val="TableContents"/>
              <w:bidi w:val="0"/>
              <w:spacing w:before="0" w:after="283"/>
              <w:jc w:val="left"/>
              <w:rPr/>
            </w:pPr>
            <w:r>
              <w:rPr/>
              <w:t> </w:t>
            </w:r>
          </w:p>
        </w:tc>
        <w:tc>
          <w:tcPr>
            <w:tcW w:w="11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42,378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revenue,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7302" w:type="dxa"/>
        <w:jc w:val="left"/>
        <w:tblInd w:w="0" w:type="dxa"/>
        <w:tblLayout w:type="fixed"/>
        <w:tblCellMar>
          <w:top w:w="0" w:type="dxa"/>
          <w:left w:w="0" w:type="dxa"/>
          <w:bottom w:w="0" w:type="dxa"/>
          <w:right w:w="0" w:type="dxa"/>
        </w:tblCellMar>
      </w:tblPr>
      <w:tblGrid>
        <w:gridCol w:w="3335"/>
        <w:gridCol w:w="60"/>
        <w:gridCol w:w="68"/>
        <w:gridCol w:w="927"/>
        <w:gridCol w:w="68"/>
        <w:gridCol w:w="68"/>
        <w:gridCol w:w="68"/>
        <w:gridCol w:w="649"/>
        <w:gridCol w:w="68"/>
        <w:gridCol w:w="68"/>
        <w:gridCol w:w="68"/>
        <w:gridCol w:w="927"/>
        <w:gridCol w:w="68"/>
        <w:gridCol w:w="68"/>
        <w:gridCol w:w="68"/>
        <w:gridCol w:w="649"/>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br/>
              <w:t>(Unaudited)</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8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br/>
              <w:t>(Unaudited)</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2" w:type="dxa"/>
            <w:gridSpan w:val="14"/>
            <w:tcBorders/>
            <w:vAlign w:val="center"/>
          </w:tcPr>
          <w:p>
            <w:pPr>
              <w:pStyle w:val="TableContents"/>
              <w:bidi w:val="0"/>
              <w:spacing w:before="0" w:after="283"/>
              <w:jc w:val="center"/>
              <w:rPr>
                <w:b/>
              </w:rPr>
            </w:pPr>
            <w:r>
              <w:rPr>
                <w:b/>
              </w:rPr>
              <w:t>(in thousands, except for percentages)</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2" w:type="dxa"/>
            <w:gridSpan w:val="14"/>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3832" w:type="dxa"/>
            <w:gridSpan w:val="14"/>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u w:val="single"/>
              </w:rPr>
            </w:pPr>
            <w:r>
              <w:rPr>
                <w:u w:val="single"/>
              </w:rPr>
              <w:t>Net Service Revenues</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17"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1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Self-mining</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315,226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75.4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96,538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42.8</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Co-mining</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34,002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8.1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Cloud hash rate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7,425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51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General hosting</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8,226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2.0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18,960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8.4</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Membership hosting</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26,529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6.4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30,868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13.7</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AI cloud services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17,689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4.2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2,691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sz w:val="20"/>
              </w:rPr>
            </w:pPr>
            <w:r>
              <w:rPr>
                <w:sz w:val="20"/>
              </w:rPr>
              <w:t xml:space="preserve">Others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2,943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2,905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u w:val="single"/>
              </w:rPr>
            </w:pPr>
            <w:r>
              <w:rPr>
                <w:u w:val="single"/>
              </w:rPr>
              <w:t>Net Product Revenues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Sale of mining rigs and accessories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4,087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1.0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pPr>
            <w:r>
              <w:rPr/>
              <w:t>73,554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32.6</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sz w:val="20"/>
              </w:rPr>
            </w:pPr>
            <w:r>
              <w:rPr>
                <w:sz w:val="20"/>
              </w:rPr>
              <w:t xml:space="preserve">Others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1,587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pPr>
            <w:r>
              <w:rPr/>
              <w:t>0.4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143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417,714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225,710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141"/>
        <w:gridCol w:w="519"/>
        <w:gridCol w:w="9545"/>
      </w:tblGrid>
      <w:tr>
        <w:trPr/>
        <w:tc>
          <w:tcPr>
            <w:tcW w:w="14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both"/>
              <w:rPr/>
            </w:pPr>
            <w:r>
              <w:rPr/>
              <w:t>Less than 0.1% but not nil.</w:t>
            </w:r>
          </w:p>
        </w:tc>
      </w:tr>
    </w:tbl>
    <w:p>
      <w:pPr>
        <w:pStyle w:val="TextBody"/>
        <w:bidi w:val="0"/>
        <w:spacing w:before="0" w:after="0"/>
        <w:ind w:left="45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Other service revenues primarily comprise revenue from the provision of technical and human resources services, repair services for hosted mining rigs, the leasing of property, plant and equipment, and cloud hosting arrangements.</w:t>
            </w:r>
          </w:p>
        </w:tc>
      </w:tr>
      <w:tr>
        <w:trPr/>
        <w:tc>
          <w:tcPr>
            <w:tcW w:w="261"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Other product revenues primarily comprise revenue from the sale of mining rig peripherals and containerized solution products.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increased to US$417.7 million for the six months ended June 30, 2026 from US$225.7 million for the six months ended June 30, 2025, primarily driven by an increase in revenue from self-mining, an increase in revenue from AI cloud services and the commencement of co-mining revenue, offset by a decrease in revenue from General Hosting and sale of mining rigs and accessories.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Revenue generated from our self-mining business increased by 226.5% to US$315.2 million for the six months ended June 30, 2026 from US$96.5 million for the six months ended June 30, 2025. The change was primarily due to the increase in the average self-mining hash rate, partially offset by lower average Bitcoin prices. The hash rate used for self-mining, calculated as the monthly average over the six-month period, was approximately 66.4 EH/s for the six months ended June 30, 2026, compared to 12.0 EH/s for the six months ended June 30, 2025.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generated from our co-mining business was US$34.0 million for the six months ended June 30, 2026, compared to nil for the six months ended June 30, 2025. The change was primarily due to the deployment of hash rate under our co-mining arrangements during the period, there having been no co-mining revenue in the comparative period. The hash rate used for co-mining, calculated as the monthly average over the six-month period, was approximately 7.6 EH/s for the six months ended June 30,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generated from AI cloud services increased by 557.3% to US$17.7 million for the six months ended June 30, 2026 from US$2.7 million for the six months ended June 30, 2025. The change was primarily due to our increased GPU equipment deployed and scaling efforts into AI cloud service contracts.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generated from General Hosting decreased by 56.6% to US$8.2 million for the six months ended June 30, 2026 from US$19.0 million for the six months ended June 30, 2025, which was primarily due to the expiration of certain hosting customer contracts and lower rewards from profit-sharing scheme as a result of lower average Bitcoin prices.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generated from sale of mining rigs and accessories decreased by 94.4% to US$4.1 million for the six months ended June 30, 2026 from US$73.6 million for the six months ended June 30, 2025, which was primarily due to the designation of our mining rigs for our mining business in line with the expansion of our mining operations, rather than being used for external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cost of revenue increased to US$465.3 million for the six months ended June 30, 2026 from US$217.7 million for the six months ended June 30, 2025, primarily driven by increases in depreciation of property, plant and equipment, including mining rigs, and in electricity cost in operating mining rigs, partially offset by a decrease in the cost of mining rigs and accessories sold.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Depreciation of property, plant and equipment, including mining rigs, increased by 506.7% to US$188.4 million for the six months ended June 30, 2026 from US$31.1 million for the six months ended June 30, 2025, primarily driven by the significant increase in the number of SEALMINER mining rigs energized and placed into service across the Group’s self-mining and co-mining businesses, together with the expansion of datacenter infrastructure and the deployment of GPU equipment for the AI cloud business. The increase also reflects the revision, effective from July 2025, of the estimated useful lives of substantially all mining rigs held at that date from two to five years to two to three years and the reduction in their estimated residual values, which was applied prospectively and therefore affected the six months ended June 30, 2026 but not the comparative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Electricity cost in operating mining rigs increased by 143.8% to US$227.7 million for the six months ended June 30, 2026 from US$93.4 million for the six months ended June 30, 2025, which was primarily due to the additional mining capacity energized in the self-mining business and the commencement of the co-mining business, partially offset by decreases in the General Hosting and Membership hosting businesses as datacenter capacity was redeployed to the Group’s own mining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Cost of mining rigs and accessories sold decreased by 94.0% to US$3.8 million for the six months ended June 30, 2026 from US$63.2 million for the six months ended June 30, 2025 primarily driven by the corresponding decrease in sales of mining rigs and accessories to external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increased by 70.3% to US$5.1 million for the six months ended June 30, 2026 from US$3.0 million for the six months ended June 30, 2025, primarily due to (i) a US$2.3 million increase in marketing and advertising expenses for our AI business and (ii) a US$0.2 million increase in staff costs, including wages, bonuses and other benefits to sales personnel, driven by an increase in headcount, partially offset by a US$0.4 million decrease in share-based payment expenses, as a result of the decrease in expense recognized according to graded vesting schedules for outstanding share awards to sales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67.2% to US$58.9 million for the six months ended June 30, 2026 from US$35.2 million for the six months ended June 30, 2025, primarily due to (i) a US$10.6 million increase in staff costs, including wages, bonuses and other benefits to general and administrative personnel, driven by an increase in general and administrative headcount, (ii) a US$8.1 million increase in consulting service fees for general corporate management and compliance activities, and (iii) a US$3.3 million increase in office, travel and insurance expenses, partially offset by a US$1.8 million decrease in share-based payment expenses, as a result of the decrease in expense recognized according to graded vesting schedules for outstanding share awards to general and administrative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decreased by 29.3% to US$56.3 million for the six months ended June 30, 2026 from US$79.6 million for the six months ended June 30, 2025, primarily attributable to (i) a US$24.6 million the decrease in one-off incremental development expenses, (ii) a US$4.7 million decrease in share-based payment expenses, as a result of the decrease in expense recognized according to graded vesting schedules for outstanding share awards to research and development personnel, and (iii) a US$1.9 million decrease in research and development technical service fees, partially offset by a US$5.3 million increase in staff costs, including wages, bonuses and other benefits to research and development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Expenses,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other operating expenses of US$11.8 million and US$3.4 million for the six months ended June 30, 2026 and 2025, respectively. This change was primarily driven by net losses on disposal of property, plant and equipment caused by the conversion of Tydal, Norway data center from the mining facility into an AI data center, partially offset by change in fair value of digital assets-settled receivables and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Losses,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other net losses of US$12.6 million and US$18.8 million for the six months ended June 30, 2026 and 2025, respectively. This change was primarily driven by a drop in loss on extinguishment of convertible bonds, partially offset by donations and realized loss on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from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recorded a loss from operations of US$208.3 million and US$93.8 million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benefits of US$15.1 million and US$3.5 million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incurred a net loss of US$251.8 million for the six months ended June 30, 2026 and a net income of US$42.4 million for the six months ended June 30, 2025, respectively.</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(Non-GAAP)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adjusted EBITDA of US$45.5 million and negative US$41.0 million for the six months ended June 30, 2026 and 2025, respectively. This change was primarily due to higher revenue and cost of electricity driven by significantly higher self-mining and co-mining hashrate as a result of the Company’s mass production and deployment of SEALMINERs, offset by higher operating expenses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business, we consider and use non-GAAP measures, adjusted EBITDA and adjusted income (loss), as supplemental measures to review and assess our operating performance. We define adjusted EBITDA as earnings before interest, taxes, depreciation and amortization, further adjusted to exclude share-based compensation expense, share of earnings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instruments, net gains (losses) on disposal of property, plant and equipment and other net gains (losses), and define adjusted income (loss) as income (loss) adjusted to exclude share-based compensation expense, share of earnings (losses) from equity method investments, change in fair value of digital assets held for operations, change in fair value of digital assets-settled receivable and payable, change in fair value of digital assets - receivable, change in fair value of digital assets loan, change in fair value of derivative instruments, net gains (losses) on disposal of property, plant and equipment and other net gains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these non-GAAP financial measures because they are used by our management to evaluate our operating performance and formulate business plans. We also believe that the use of these non-GAAP measures facilitate investors’ assessment of our operating performance. These measures are not necessarily comparable to similarly titled measures used by other companies. As a result, investors should not consider these measures in isolation from, or as a substitute analysis for, our loss for the periods, as determined in accordance with GAAP. We compensate for these limitations by reconciling these non-GAAP financial measures to the nearest GAAP performance measure, all of which should be considered when evaluating our performance. We encourage investors to review our financial information in its entirety and not rely on a single financial measure.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income (loss) for the relevant period to adjusted EBITDA,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9417" w:type="dxa"/>
        <w:jc w:val="left"/>
        <w:tblInd w:w="0" w:type="dxa"/>
        <w:tblLayout w:type="fixed"/>
        <w:tblCellMar>
          <w:top w:w="0" w:type="dxa"/>
          <w:left w:w="0" w:type="dxa"/>
          <w:bottom w:w="0" w:type="dxa"/>
          <w:right w:w="0" w:type="dxa"/>
        </w:tblCellMar>
      </w:tblPr>
      <w:tblGrid>
        <w:gridCol w:w="6530"/>
        <w:gridCol w:w="60"/>
        <w:gridCol w:w="80"/>
        <w:gridCol w:w="1175"/>
        <w:gridCol w:w="127"/>
        <w:gridCol w:w="80"/>
        <w:gridCol w:w="80"/>
        <w:gridCol w:w="1175"/>
        <w:gridCol w:w="110"/>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(Unaudited)</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(Unaudited)</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(251,805</w:t>
            </w:r>
          </w:p>
        </w:tc>
        <w:tc>
          <w:tcPr>
            <w:tcW w:w="127" w:type="dxa"/>
            <w:tcBorders/>
            <w:shd w:fill="CCEEFF" w:val="clear"/>
            <w:vAlign w:val="center"/>
          </w:tcPr>
          <w:p>
            <w:pPr>
              <w:pStyle w:val="TableContents"/>
              <w:bidi w:val="0"/>
              <w:spacing w:before="0" w:after="283"/>
              <w:jc w:val="left"/>
              <w:rPr>
                <w:b/>
              </w:rPr>
            </w:pPr>
            <w:r>
              <w:rPr>
                <w:b/>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42,378</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b/>
              </w:rPr>
            </w:pPr>
            <w:r>
              <w:rPr>
                <w:b/>
              </w:rPr>
              <w:t>Add: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202,596</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44,952</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Income tax benefits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(15,121</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(3,523</w:t>
            </w:r>
          </w:p>
        </w:tc>
        <w:tc>
          <w:tcPr>
            <w:tcW w:w="110" w:type="dxa"/>
            <w:tcBorders/>
            <w:shd w:fill="FFFFFF" w:val="clear"/>
            <w:vAlign w:val="center"/>
          </w:tcPr>
          <w:p>
            <w:pPr>
              <w:pStyle w:val="TableContents"/>
              <w:bidi w:val="0"/>
              <w:spacing w:before="0" w:after="283"/>
              <w:jc w:val="left"/>
              <w:rPr/>
            </w:pPr>
            <w:r>
              <w:rPr/>
              <w:t>)</w:t>
            </w:r>
          </w:p>
        </w:tc>
      </w:tr>
      <w:tr>
        <w:trPr/>
        <w:tc>
          <w:tcPr>
            <w:tcW w:w="653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(2,220</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(4,187</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62,810</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19,063</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13,527</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20,574</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3,517</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2,467</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Change in fair value of digital assets held for operations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28,628</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(19,398</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Change in fair value of digital assets-settled receivables and payables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(6,468</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3,190</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Change in fair value of digital assets receivable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16,307</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Change in fair value of digital assets loan</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(23,809</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Change in fair value of derivative instruments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(12,988</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(165,352</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Net losses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17,870</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Other losses, net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12,649</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18,776</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b/>
              </w:rPr>
            </w:pPr>
            <w:r>
              <w:rPr>
                <w:b/>
              </w:rPr>
              <w:t>Total of Adjusted EBITDA</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80"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45,493</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80"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(40,992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US$456.8 million, digital assets of US$34.8 million, digital assets - receivables of US$162.2 million, and fiat currency investment of US$0.2 million in an unlisted debt instrument, redeemable on demand. We have financed our operations primarily with cash flow from disposal of digital assets earned from principal business operations, as well as through the issuance of convertible notes and Class A ordinary shares and entering into borrowing arrangements. We believe that our cash, short-term investments, proceeds from our principal businesses and anticipated proceeds from disposal of digital assets will be sufficient to meet our current and anticipated working capital requirements and capital expenditures for at least the next 12 months. Consistent with our recent approach, we expect to opportunistically access sources of capital, including proceeds from the issuance of convertible notes, Class A ordinary shares and borrowing arrangements to meet our current and anticipated capital expenditure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increased to US$456.8 million as of June 30, 2026 from US$149.4 million as of December 31, 2025, primarily attributable to net proceeds from financing activities, driven by our ATM program, the February 2026 convertible notes issuance (net of the settlement of our prior convertible notes and capped-call premium), and net borrowings from a related party, partially offset by cash used for capital expenditures, including payments for the production of SEALMINERs used for our self-mining and co-mining businesses, datacenter infrastructure construction, GPU equipment procurement and tariffs and freight for mining rigs delivered to our datacenters, and operating expenditures.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as of June 30, 2026 primarily include our purchase of property, plant and equipment, and intangible assets, lease obligations and borrowings. Other than those discussed below, we did not have any significant capital and other commitments, long-term obligations or guarantees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 of property, plant and equipment, and intangible assets.</w:t>
      </w:r>
      <w:r>
        <w:rPr>
          <w:rFonts w:ascii="Times New Roman;Times;Serif" w:hAnsi="Times New Roman;Times;Serif"/>
          <w:b w:val="false"/>
          <w:i w:val="false"/>
          <w:caps w:val="false"/>
          <w:smallCaps w:val="false"/>
          <w:sz w:val="20"/>
        </w:rPr>
        <w:t xml:space="preserve"> Purchase of property, plant and equipment, and intangible assets primarily consist of payments for the production of SEALMINERs used in our self-mining and co-mining businesses, GPU equipment procurement, and the purchase of machinery, equipment and other expenditure associated with datacenter construction and operations. The total cash outflow for the purchase of property, plant and equipment, and intangible assets was US$359.7 million and US$157.2 million for the six months ended June 30, 2026 and 2025, respectively. As of June 30, 2026, we had commitments that are scheduled to be paid within 12 months for the purchase of property, plant and equipment, and intangible assets of approximately US$252.6 million, of which approximately US$104.1 million was recognized in payables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Lease liabilities.</w:t>
      </w:r>
      <w:r>
        <w:rPr>
          <w:rFonts w:ascii="Times New Roman;Times;Serif" w:hAnsi="Times New Roman;Times;Serif"/>
          <w:b w:val="false"/>
          <w:i w:val="false"/>
          <w:caps w:val="false"/>
          <w:smallCaps w:val="false"/>
          <w:sz w:val="20"/>
        </w:rPr>
        <w:t xml:space="preserve"> We occupy most of our office premises and certain datacenters under lease arrangements, which generally have an initial lease term of between two to thirty years. Lease contracts are typically made for fixed periods but may have extension options. Any extension options in these leases have not been included in the lease liabilities unless we are reasonably certain to exercise the extension option. Periods after termination options are only included in the lease term if the lease is reasonably certain not to be terminated. Total cash paid for leases for the six months ended June 30, 2026 and 2025 was approximately US$7.9 million and US$5.9 million, respectively. As of June 30, 2026, lease liabilities mature based on contractual undiscounted payments within 12 months and over 12 months were US$18.1 million and US$114.9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Borrowings</w:t>
      </w:r>
      <w:r>
        <w:rPr>
          <w:rFonts w:ascii="Times New Roman;Times;Serif" w:hAnsi="Times New Roman;Times;Serif"/>
          <w:b w:val="false"/>
          <w:i w:val="false"/>
          <w:caps w:val="false"/>
          <w:smallCaps w:val="false"/>
          <w:sz w:val="20"/>
        </w:rPr>
        <w:t>. Our borrowings as of June 30, 2026 represented a total commitment of approximately US$1.8 billion relating to: (i) the balance of US$63.4 million relates to November 2024 Convertible Notes with the outstanding US$65.0 million aggregate principal amount, (ii) the balance of US$364.9 million relates to June 2025 Convertible Notes with US$375.0 million aggregate principal amount, (iii) the balance of US$389.0 million relates to November 2025 Convertible Notes, with US$400.0 million aggregate principal amount, (iv) the balance of US$364.1 million relates to February 2026 Convertible Notes, with US$375.0 million aggregate principal amount, (v) bank loans of US$27.1 million, and (vi) the loans from BIT Group, a related party, of US$633.1 million (comprising current portion of US$491.0 million and noncurrent portion of US$142.1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February 2026 Convertible Notes, see “––Recent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fund our existing and future material cash requirements primarily with our cash, short-term investments, proceeds from our principal business, anticipated proceeds from disposal of digital assets, proceeds from the issuance of convertible notes and entering into borrowing arrangements. However, our future capital requirements will depend on many factors, including market acceptance of digital assets, our growth, our ability to scale up our mining and AI infrastructure including AI cloud related equipment, our ability to effectively control costs, our ability to attract and retain customers, our ability to continue the research and development of mining rig chips, our ability to manufacture and deploy the mining rigs and generate the hash rate, the continuing market acceptance of our offerings, expansion of sales and marketing activities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shareholders. The incurrence of debt financing would result in debt service obligations and the instruments governing such debt could provide for operating and financing covenants that would restrict our operations. In the event that additional financing is required from outside sources, there is a possibility we may not be able to raise it on terms acceptable to us or at all. If we are unable to raise additional capital when desired, our business, operations and financial condition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consolidated statements of cash flows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8"/>
        <w:gridCol w:w="60"/>
        <w:gridCol w:w="82"/>
        <w:gridCol w:w="1200"/>
        <w:gridCol w:w="129"/>
        <w:gridCol w:w="81"/>
        <w:gridCol w:w="82"/>
        <w:gridCol w:w="1200"/>
        <w:gridCol w:w="113"/>
      </w:tblGrid>
      <w:tr>
        <w:trPr/>
        <w:tc>
          <w:tcPr>
            <w:tcW w:w="7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3" w:type="dxa"/>
            <w:tcBorders/>
            <w:vAlign w:val="center"/>
          </w:tcPr>
          <w:p>
            <w:pPr>
              <w:pStyle w:val="TableContents"/>
              <w:bidi w:val="0"/>
              <w:spacing w:before="0" w:after="283"/>
              <w:jc w:val="left"/>
              <w:rPr/>
            </w:pPr>
            <w:r>
              <w:rPr/>
              <w:t> </w:t>
            </w:r>
          </w:p>
        </w:tc>
      </w:tr>
      <w:tr>
        <w:trPr/>
        <w:tc>
          <w:tcPr>
            <w:tcW w:w="7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(Unaudited)</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(Unaudited)</w:t>
            </w:r>
          </w:p>
        </w:tc>
        <w:tc>
          <w:tcPr>
            <w:tcW w:w="113" w:type="dxa"/>
            <w:tcBorders/>
            <w:vAlign w:val="center"/>
          </w:tcPr>
          <w:p>
            <w:pPr>
              <w:pStyle w:val="TableContents"/>
              <w:bidi w:val="0"/>
              <w:spacing w:before="0" w:after="283"/>
              <w:jc w:val="left"/>
              <w:rPr/>
            </w:pPr>
            <w:r>
              <w:rPr/>
              <w:t> </w:t>
            </w:r>
          </w:p>
        </w:tc>
      </w:tr>
      <w:tr>
        <w:trPr/>
        <w:tc>
          <w:tcPr>
            <w:tcW w:w="7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2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3" w:type="dxa"/>
            <w:tcBorders/>
            <w:vAlign w:val="center"/>
          </w:tcPr>
          <w:p>
            <w:pPr>
              <w:pStyle w:val="TableContents"/>
              <w:bidi w:val="0"/>
              <w:spacing w:before="0" w:after="283"/>
              <w:jc w:val="left"/>
              <w:rPr/>
            </w:pPr>
            <w:r>
              <w:rPr/>
              <w:t> </w:t>
            </w:r>
          </w:p>
        </w:tc>
      </w:tr>
      <w:tr>
        <w:trPr/>
        <w:tc>
          <w:tcPr>
            <w:tcW w:w="7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4" w:type="dxa"/>
            <w:gridSpan w:val="6"/>
            <w:tcBorders/>
            <w:vAlign w:val="center"/>
          </w:tcPr>
          <w:p>
            <w:pPr>
              <w:pStyle w:val="TableContents"/>
              <w:bidi w:val="0"/>
              <w:spacing w:before="0" w:after="283"/>
              <w:jc w:val="center"/>
              <w:rPr/>
            </w:pPr>
            <w:r>
              <w:rPr/>
              <w:t>(in thousands)</w:t>
            </w:r>
          </w:p>
        </w:tc>
        <w:tc>
          <w:tcPr>
            <w:tcW w:w="113" w:type="dxa"/>
            <w:tcBorders/>
            <w:vAlign w:val="center"/>
          </w:tcPr>
          <w:p>
            <w:pPr>
              <w:pStyle w:val="TableContents"/>
              <w:bidi w:val="0"/>
              <w:spacing w:before="0" w:after="283"/>
              <w:jc w:val="left"/>
              <w:rPr/>
            </w:pPr>
            <w:r>
              <w:rPr/>
              <w:t> </w:t>
            </w:r>
          </w:p>
        </w:tc>
      </w:tr>
      <w:tr>
        <w:trPr/>
        <w:tc>
          <w:tcPr>
            <w:tcW w:w="72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4" w:type="dxa"/>
            <w:gridSpan w:val="6"/>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r>
      <w:tr>
        <w:trPr/>
        <w:tc>
          <w:tcPr>
            <w:tcW w:w="725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(505,417</w:t>
            </w:r>
          </w:p>
        </w:tc>
        <w:tc>
          <w:tcPr>
            <w:tcW w:w="129"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(622,025</w:t>
            </w:r>
          </w:p>
        </w:tc>
        <w:tc>
          <w:tcPr>
            <w:tcW w:w="113" w:type="dxa"/>
            <w:tcBorders/>
            <w:shd w:fill="CCEEFF" w:val="clear"/>
            <w:vAlign w:val="center"/>
          </w:tcPr>
          <w:p>
            <w:pPr>
              <w:pStyle w:val="TableContents"/>
              <w:bidi w:val="0"/>
              <w:spacing w:before="0" w:after="283"/>
              <w:jc w:val="left"/>
              <w:rPr/>
            </w:pPr>
            <w:r>
              <w:rPr/>
              <w:t>)</w:t>
            </w:r>
          </w:p>
        </w:tc>
      </w:tr>
      <w:tr>
        <w:trPr/>
        <w:tc>
          <w:tcPr>
            <w:tcW w:w="7258"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44,840</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(86,226</w:t>
            </w:r>
          </w:p>
        </w:tc>
        <w:tc>
          <w:tcPr>
            <w:tcW w:w="113" w:type="dxa"/>
            <w:tcBorders/>
            <w:shd w:fill="FFFFFF" w:val="clear"/>
            <w:vAlign w:val="center"/>
          </w:tcPr>
          <w:p>
            <w:pPr>
              <w:pStyle w:val="TableContents"/>
              <w:bidi w:val="0"/>
              <w:spacing w:before="0" w:after="283"/>
              <w:jc w:val="left"/>
              <w:rPr/>
            </w:pPr>
            <w:r>
              <w:rPr/>
              <w:t>)</w:t>
            </w:r>
          </w:p>
        </w:tc>
      </w:tr>
      <w:tr>
        <w:trPr/>
        <w:tc>
          <w:tcPr>
            <w:tcW w:w="7258"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781,454</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530,245</w:t>
            </w:r>
          </w:p>
        </w:tc>
        <w:tc>
          <w:tcPr>
            <w:tcW w:w="113" w:type="dxa"/>
            <w:tcBorders/>
            <w:shd w:fill="CCEEFF" w:val="clear"/>
            <w:vAlign w:val="center"/>
          </w:tcPr>
          <w:p>
            <w:pPr>
              <w:pStyle w:val="TableContents"/>
              <w:bidi w:val="0"/>
              <w:spacing w:before="0" w:after="283"/>
              <w:jc w:val="left"/>
              <w:rPr/>
            </w:pPr>
            <w:r>
              <w:rPr/>
              <w:t> </w:t>
            </w:r>
          </w:p>
        </w:tc>
      </w:tr>
      <w:tr>
        <w:trPr/>
        <w:tc>
          <w:tcPr>
            <w:tcW w:w="7258" w:type="dxa"/>
            <w:tcBorders/>
            <w:shd w:fill="FFFFFF" w:val="clear"/>
            <w:vAlign w:val="center"/>
          </w:tcPr>
          <w:p>
            <w:pPr>
              <w:pStyle w:val="TableContents"/>
              <w:bidi w:val="0"/>
              <w:spacing w:before="0" w:after="283"/>
              <w:jc w:val="left"/>
              <w:rPr/>
            </w:pPr>
            <w:r>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(2,466</w:t>
            </w:r>
          </w:p>
        </w:tc>
        <w:tc>
          <w:tcPr>
            <w:tcW w:w="129"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3,281</w:t>
            </w:r>
          </w:p>
        </w:tc>
        <w:tc>
          <w:tcPr>
            <w:tcW w:w="113" w:type="dxa"/>
            <w:tcBorders/>
            <w:shd w:fill="FFFFFF" w:val="clear"/>
            <w:vAlign w:val="center"/>
          </w:tcPr>
          <w:p>
            <w:pPr>
              <w:pStyle w:val="TableContents"/>
              <w:bidi w:val="0"/>
              <w:spacing w:before="0" w:after="283"/>
              <w:jc w:val="left"/>
              <w:rPr/>
            </w:pPr>
            <w:r>
              <w:rPr/>
              <w:t> </w:t>
            </w:r>
          </w:p>
        </w:tc>
      </w:tr>
      <w:tr>
        <w:trPr/>
        <w:tc>
          <w:tcPr>
            <w:tcW w:w="7258"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318,411</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(174,725</w:t>
            </w:r>
          </w:p>
        </w:tc>
        <w:tc>
          <w:tcPr>
            <w:tcW w:w="113" w:type="dxa"/>
            <w:tcBorders/>
            <w:shd w:fill="CCEEFF" w:val="clear"/>
            <w:vAlign w:val="center"/>
          </w:tcPr>
          <w:p>
            <w:pPr>
              <w:pStyle w:val="TableContents"/>
              <w:bidi w:val="0"/>
              <w:spacing w:before="0" w:after="283"/>
              <w:jc w:val="left"/>
              <w:rPr/>
            </w:pPr>
            <w:r>
              <w:rPr/>
              <w:t>)</w:t>
            </w:r>
          </w:p>
        </w:tc>
      </w:tr>
      <w:tr>
        <w:trPr/>
        <w:tc>
          <w:tcPr>
            <w:tcW w:w="7258" w:type="dxa"/>
            <w:tcBorders/>
            <w:shd w:fill="FFFFFF" w:val="clear"/>
            <w:vAlign w:val="center"/>
          </w:tcPr>
          <w:p>
            <w:pPr>
              <w:pStyle w:val="TableContents"/>
              <w:bidi w:val="0"/>
              <w:spacing w:before="0" w:after="283"/>
              <w:jc w:val="left"/>
              <w:rPr/>
            </w:pPr>
            <w:r>
              <w:rPr/>
              <w:t>Cash, cash equivalents and restricted cash at the beginning of the period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177,877</w:t>
            </w:r>
          </w:p>
        </w:tc>
        <w:tc>
          <w:tcPr>
            <w:tcW w:w="12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pPr>
            <w:r>
              <w:rPr/>
              <w:t>493,626</w:t>
            </w:r>
          </w:p>
        </w:tc>
        <w:tc>
          <w:tcPr>
            <w:tcW w:w="113" w:type="dxa"/>
            <w:tcBorders/>
            <w:shd w:fill="FFFFFF" w:val="clear"/>
            <w:vAlign w:val="center"/>
          </w:tcPr>
          <w:p>
            <w:pPr>
              <w:pStyle w:val="TableContents"/>
              <w:bidi w:val="0"/>
              <w:spacing w:before="0" w:after="283"/>
              <w:jc w:val="left"/>
              <w:rPr/>
            </w:pPr>
            <w:r>
              <w:rPr/>
              <w:t> </w:t>
            </w:r>
          </w:p>
        </w:tc>
      </w:tr>
      <w:tr>
        <w:trPr/>
        <w:tc>
          <w:tcPr>
            <w:tcW w:w="7258" w:type="dxa"/>
            <w:tcBorders/>
            <w:shd w:fill="CCEEFF" w:val="clear"/>
            <w:vAlign w:val="center"/>
          </w:tcPr>
          <w:p>
            <w:pPr>
              <w:pStyle w:val="TableContents"/>
              <w:bidi w:val="0"/>
              <w:spacing w:before="0" w:after="283"/>
              <w:jc w:val="left"/>
              <w:rPr/>
            </w:pPr>
            <w:r>
              <w:rPr/>
              <w:t>Cash,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496,288</w:t>
            </w:r>
          </w:p>
        </w:tc>
        <w:tc>
          <w:tcPr>
            <w:tcW w:w="12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318,901</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US$505.4 million for the six months ended June 30, 2026. The difference between our net loss of US$251.8 million and the net cash used in operating activities was primarily attributable to (i) adjustments for revenues recognized on acceptance of digital assets of US$354.2 million, substantially all of our self-mining and co-mining revenue being received in digital assets rather than cash, with the related cash realized only on disposal of those assets and presented within investing activities, (ii) an adjustment for deferred income tax of US$15.0 million, (iii) changes in inventories of US$544.9 million related to the build of SEALMINER inventory, principally in the first quarter of 2026, the subsequent redesignation of that inventory for our own mining use and its reclassification to property, plant and equipment was a non-cash transfer of US$796.9 million and is accordingly excluded from operating activities and disclosed as a supplemental non-cash investing item, (iv) an adjustment for deferred revenues of US$9.9 million and (v) an adjustment for change in fair value of digital assets loan of US$23.8 million, partially offset by (i) an adjustment for depreciation and amortization of US$202.6 million primarily relating to the depreciation of mining rigs used in our principal business operations, property, plant and equipment used in connection with our datacenters and intangible assets during this period, (ii) an adjustment for share-based payment expenses of US$13.5 million for the issuance of options pursuant to our share incentive plans, (iii) an adjustment for losses on disposal of property, plant and equipment and intangible assets of US$17.9 million, (iv) an adjustment for change in fair value of digital asset receivables from a related party of US$16.3 million, (v) an adjustment for realized loss on disposal of digital assets held for operations of US$19.2 million, (vi) changes in prepayments and other assets of US$371.8 million, representing the realization of advance payments made in prior periods for wafer procurement, and was applied directly to property, plant and equipment; miner-related costs incurred after March 2026 are presented as purchases of property, plant and equipment within investing activities, and (vii) changes in accounts payable of US$54.1 million primarily associated with our production supply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US$622.0 million for the six months ended June 30, 2025. The difference between our net profit of US$42.4 million and the net cash used in operating activities was primarily attributable to (i) adjustments for revenues recognized on acceptance of digital assets of US$200.6 million, (ii) an adjustment for change in fair value of derivative liabilities of US$165.4 million, (iii) an adjustment for unrealized gain on digital assets held for operations of US$19.2 million, (iv) changes in prepayments and other assets of US$101.4 million primarily associated with advance payments for inventory procurement, and (v) changes in inventories of US$290.7 million related to our manufacturing of SEALMINERs, partially offset by (i) an adjustment for depreciation and amortization of US$45.0 million primarily relating to the depreciation of mining rigs used in our principal business operations, property, plant and equipment used in connection with our datacenters and intangible assets during this period, (ii) an adjustment for share-based payment expenses of US$20.6 million for the issuance of options pursuant to our share incentive plans, (iii) an adjustment for loss on extinguishment of convertible senior notes of US$16.2 million, and (iv) changes in accounts payable of US$30.8 million primarily associated with our production supply chain.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US$44.8 million for the six months ended June 30, 2026, which was primarily attributable to proceeds from disposal of digital assets of US$402.4 million, partially offset by purchase of property, plant and equipment and intangible assets of US$359.7 million, which comprised payments for the production of SEALMINERs used for our self-mining and co-mining businesses, datacenter infrastructure construction, GPU equipment procurement and tariffs and freight for mining rigs delivered to our datacenters.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US$86.2 million for the six months ended June 30, 2025, which was primarily attributable to (i) purchase of property, plant and equipment and intangible assets of US$157.2 million, (ii) purchase of digital assets of US$18.2 million and (iii) cash paid for the site and gas-fired power project in Alberta, Canada of US$21.9 million, partially offset by proceeds from disposal of digital assets of US$112.4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financing activities was US$781.5 million for the six months ended June 30, 2026, which was primarily attributable to (i) proceeds from borrowings of US$26.6 million, (ii) borrowings from a related party of US$210.0 million, (iii) proceeds from issuance of ordinary shares under our ATM program of US$491.9 million, and (iv) proceeds from convertible senior notes, net of transaction cost, of US$363.6 million, partially offset by (i) repayment of borrowings of US$26.0 million, (ii) repayment of borrowings to a related party of US$149.0 million, (iii) repayments made in connection with the extinguishment of convertible senior notes of US$93.0 million, and (iv) purchase of capped call option in connection with convertible senior notes of US$33.7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financing activities was US$530.2 million for the six months ended June 30, 2025, which was primarily attributable to (i) proceeds from borrowings of US$17.5 million, (ii) borrowings from a related party of US$180.0 million, (iii) proceeds from issuance of shares for exercise of share warrant of US$50.0 million, (iv) proceeds from issuance of ordinary shares of US$121.8 million, and (v) proceeds from convertible senior notes, net of transaction cost, of US$363.2 million, partially offset by (i) repurchase of ordinary shares of US$30.0 million, (ii) repayments made in connection with the extinguishment of convertible senior notes of US$33.8 million, and (iii) purchase of zero-strike call option in connection with convertible senior notes of US$129.6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36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99123/000114036124021346/ny20023745x7_posam.htm" TargetMode="External"/><Relationship Id="rId3" Type="http://schemas.openxmlformats.org/officeDocument/2006/relationships/hyperlink" Target="https://www.sec.gov/Archives/edgar/data/1899123/000114036124016228/ny20023745x4_f3a.htm" TargetMode="External"/><Relationship Id="rId4" Type="http://schemas.openxmlformats.org/officeDocument/2006/relationships/hyperlink" Target="https://www.sec.gov/Archives/edgar/data/1899123/000114036124016229/ny20023745x5_f3a.htm" TargetMode="External"/><Relationship Id="rId5" Type="http://schemas.openxmlformats.org/officeDocument/2006/relationships/hyperlink" Target="https://www.sec.gov/Archives/edgar/data/1899123/000114036124029276/ny20030771x1_f3.htm" TargetMode="External"/><Relationship Id="rId6" Type="http://schemas.openxmlformats.org/officeDocument/2006/relationships/hyperlink" Target="https://www.sec.gov/Archives/edgar/data/1899123/000114036124049031/ny20039746x1_f3.htm" TargetMode="External"/><Relationship Id="rId7" Type="http://schemas.openxmlformats.org/officeDocument/2006/relationships/hyperlink" Target="https://www.sec.gov/Archives/edgar/data/1899123/000121390025080525/ea0254524-f3_bitdeer.htm" TargetMode="External"/><Relationship Id="rId8" Type="http://schemas.openxmlformats.org/officeDocument/2006/relationships/hyperlink" Target="https://www.sec.gov/Archives/edgar/data/1899123/000121390026087012/ea0300737-f3asr_bitdeer.htm" TargetMode="External"/><Relationship Id="rId9" Type="http://schemas.openxmlformats.org/officeDocument/2006/relationships/hyperlink" Target="https://www.sec.gov/Archives/edgar/data/1899123/000114036123031108/brhc20054618_s8.htm" TargetMode="External"/><Relationship Id="rId10" Type="http://schemas.openxmlformats.org/officeDocument/2006/relationships/hyperlink" Target="https://www.sec.gov/Archives/edgar/data/1899123/000114036123051570/ef20013751_s8.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38446</Words>
  <Characters>210216</Characters>
  <CharactersWithSpaces>251993</CharactersWithSpaces>
  <Paragraphs>10768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